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lang w:val="zh-CN"/>
        </w:rPr>
      </w:pPr>
      <w:bookmarkStart w:id="442" w:name="_GoBack"/>
      <w:bookmarkEnd w:id="442"/>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color w:val="auto"/>
          <w:kern w:val="2"/>
          <w:sz w:val="44"/>
          <w:szCs w:val="44"/>
          <w:lang w:val="zh-CN"/>
        </w:rPr>
      </w:pPr>
      <w:r>
        <w:rPr>
          <w:rFonts w:hint="eastAsia" w:ascii="方正小标宋简体" w:hAnsi="方正小标宋简体" w:eastAsia="方正小标宋简体" w:cs="方正小标宋简体"/>
          <w:color w:val="auto"/>
          <w:kern w:val="2"/>
          <w:sz w:val="44"/>
          <w:szCs w:val="44"/>
          <w:lang w:val="zh-CN"/>
        </w:rPr>
        <w:t>目</w:t>
      </w:r>
      <w:r>
        <w:rPr>
          <w:rFonts w:hint="eastAsia" w:ascii="方正小标宋简体" w:hAnsi="方正小标宋简体" w:eastAsia="方正小标宋简体" w:cs="方正小标宋简体"/>
          <w:color w:val="auto"/>
          <w:kern w:val="2"/>
          <w:sz w:val="44"/>
          <w:szCs w:val="44"/>
          <w:lang w:val="en-US" w:eastAsia="zh-CN"/>
        </w:rPr>
        <w:t xml:space="preserve">  </w:t>
      </w:r>
      <w:r>
        <w:rPr>
          <w:rFonts w:hint="eastAsia" w:ascii="方正小标宋简体" w:hAnsi="方正小标宋简体" w:eastAsia="方正小标宋简体" w:cs="方正小标宋简体"/>
          <w:color w:val="auto"/>
          <w:kern w:val="2"/>
          <w:sz w:val="44"/>
          <w:szCs w:val="44"/>
          <w:lang w:val="zh-CN"/>
        </w:rPr>
        <w:t>录</w:t>
      </w:r>
    </w:p>
    <w:p>
      <w:pPr>
        <w:rPr>
          <w:rFonts w:asciiTheme="minorHAnsi" w:hAnsiTheme="minorHAnsi" w:eastAsiaTheme="minorEastAsia" w:cstheme="minorBidi"/>
          <w:color w:val="auto"/>
          <w:kern w:val="2"/>
          <w:sz w:val="21"/>
          <w:szCs w:val="22"/>
          <w:lang w:val="zh-CN"/>
        </w:rPr>
      </w:pP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color w:val="auto"/>
          <w:kern w:val="2"/>
          <w:sz w:val="32"/>
          <w:szCs w:val="32"/>
          <w:lang w:val="zh-CN"/>
        </w:rPr>
        <w:instrText xml:space="preserve">TOC \o "1-3" \h \u </w:instrText>
      </w:r>
      <w:r>
        <w:rPr>
          <w:rFonts w:asciiTheme="minorHAnsi" w:hAnsiTheme="minorHAnsi" w:eastAsiaTheme="minorEastAsia" w:cstheme="minorBidi"/>
          <w:color w:val="auto"/>
          <w:kern w:val="2"/>
          <w:sz w:val="32"/>
          <w:szCs w:val="32"/>
          <w:lang w:val="zh-CN"/>
        </w:rPr>
        <w:fldChar w:fldCharType="separate"/>
      </w: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_Toc7793 </w:instrText>
      </w:r>
      <w:r>
        <w:rPr>
          <w:rFonts w:asciiTheme="minorHAnsi" w:hAnsiTheme="minorHAnsi" w:eastAsiaTheme="minorEastAsia" w:cstheme="minorBidi"/>
          <w:kern w:val="2"/>
          <w:sz w:val="32"/>
          <w:szCs w:val="32"/>
          <w:lang w:val="zh-CN"/>
        </w:rPr>
        <w:fldChar w:fldCharType="separate"/>
      </w:r>
      <w:r>
        <w:rPr>
          <w:rFonts w:hint="eastAsia" w:ascii="方正小标宋简体" w:hAnsi="方正小标宋简体" w:eastAsia="方正小标宋简体" w:cs="方正小标宋简体"/>
          <w:sz w:val="32"/>
          <w:szCs w:val="32"/>
        </w:rPr>
        <w:t>序  言</w:t>
      </w:r>
      <w:r>
        <w:rPr>
          <w:sz w:val="32"/>
          <w:szCs w:val="32"/>
        </w:rPr>
        <w:tab/>
      </w:r>
      <w:r>
        <w:rPr>
          <w:sz w:val="32"/>
          <w:szCs w:val="32"/>
        </w:rPr>
        <w:fldChar w:fldCharType="begin"/>
      </w:r>
      <w:r>
        <w:rPr>
          <w:sz w:val="32"/>
          <w:szCs w:val="32"/>
        </w:rPr>
        <w:instrText xml:space="preserve"> PAGEREF _Toc7793 </w:instrText>
      </w:r>
      <w:r>
        <w:rPr>
          <w:sz w:val="32"/>
          <w:szCs w:val="32"/>
        </w:rPr>
        <w:fldChar w:fldCharType="separate"/>
      </w:r>
      <w:r>
        <w:rPr>
          <w:sz w:val="32"/>
          <w:szCs w:val="32"/>
        </w:rPr>
        <w:t>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_Toc15131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第一篇  开启全面建设社会主义现代化商水新征程</w:t>
      </w:r>
      <w:r>
        <w:rPr>
          <w:sz w:val="32"/>
          <w:szCs w:val="32"/>
        </w:rPr>
        <w:tab/>
      </w:r>
      <w:r>
        <w:rPr>
          <w:sz w:val="32"/>
          <w:szCs w:val="32"/>
        </w:rPr>
        <w:fldChar w:fldCharType="begin"/>
      </w:r>
      <w:r>
        <w:rPr>
          <w:sz w:val="32"/>
          <w:szCs w:val="32"/>
        </w:rPr>
        <w:instrText xml:space="preserve"> PAGEREF _Toc15131 </w:instrText>
      </w:r>
      <w:r>
        <w:rPr>
          <w:sz w:val="32"/>
          <w:szCs w:val="32"/>
        </w:rPr>
        <w:fldChar w:fldCharType="separate"/>
      </w:r>
      <w:r>
        <w:rPr>
          <w:sz w:val="32"/>
          <w:szCs w:val="32"/>
        </w:rPr>
        <w:t>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_Toc7682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第一章  发展基础</w:t>
      </w:r>
      <w:r>
        <w:rPr>
          <w:sz w:val="32"/>
          <w:szCs w:val="32"/>
        </w:rPr>
        <w:tab/>
      </w:r>
      <w:r>
        <w:rPr>
          <w:sz w:val="32"/>
          <w:szCs w:val="32"/>
        </w:rPr>
        <w:fldChar w:fldCharType="begin"/>
      </w:r>
      <w:r>
        <w:rPr>
          <w:sz w:val="32"/>
          <w:szCs w:val="32"/>
        </w:rPr>
        <w:instrText xml:space="preserve"> PAGEREF _Toc7682 </w:instrText>
      </w:r>
      <w:r>
        <w:rPr>
          <w:sz w:val="32"/>
          <w:szCs w:val="32"/>
        </w:rPr>
        <w:fldChar w:fldCharType="separate"/>
      </w:r>
      <w:r>
        <w:rPr>
          <w:sz w:val="32"/>
          <w:szCs w:val="32"/>
        </w:rPr>
        <w:t>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_Toc9865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决胜全面建成小康社会取得决定性成就</w:t>
      </w:r>
      <w:r>
        <w:rPr>
          <w:sz w:val="32"/>
          <w:szCs w:val="32"/>
        </w:rPr>
        <w:tab/>
      </w:r>
      <w:r>
        <w:rPr>
          <w:sz w:val="32"/>
          <w:szCs w:val="32"/>
        </w:rPr>
        <w:fldChar w:fldCharType="begin"/>
      </w:r>
      <w:r>
        <w:rPr>
          <w:sz w:val="32"/>
          <w:szCs w:val="32"/>
        </w:rPr>
        <w:instrText xml:space="preserve"> PAGEREF _Toc9865 </w:instrText>
      </w:r>
      <w:r>
        <w:rPr>
          <w:sz w:val="32"/>
          <w:szCs w:val="32"/>
        </w:rPr>
        <w:fldChar w:fldCharType="separate"/>
      </w:r>
      <w:r>
        <w:rPr>
          <w:sz w:val="32"/>
          <w:szCs w:val="32"/>
        </w:rPr>
        <w:t>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_Toc9582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“十四五”面临的新形势新特征新要求</w:t>
      </w:r>
      <w:r>
        <w:rPr>
          <w:sz w:val="32"/>
          <w:szCs w:val="32"/>
        </w:rPr>
        <w:tab/>
      </w:r>
      <w:r>
        <w:rPr>
          <w:sz w:val="32"/>
          <w:szCs w:val="32"/>
        </w:rPr>
        <w:fldChar w:fldCharType="begin"/>
      </w:r>
      <w:r>
        <w:rPr>
          <w:sz w:val="32"/>
          <w:szCs w:val="32"/>
        </w:rPr>
        <w:instrText xml:space="preserve"> PAGEREF _Toc9582 </w:instrText>
      </w:r>
      <w:r>
        <w:rPr>
          <w:sz w:val="32"/>
          <w:szCs w:val="32"/>
        </w:rPr>
        <w:fldChar w:fldCharType="separate"/>
      </w:r>
      <w:r>
        <w:rPr>
          <w:sz w:val="32"/>
          <w:szCs w:val="32"/>
        </w:rPr>
        <w:t>10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_Toc6853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第二章  指导方针</w:t>
      </w:r>
      <w:r>
        <w:rPr>
          <w:sz w:val="32"/>
          <w:szCs w:val="32"/>
        </w:rPr>
        <w:tab/>
      </w:r>
      <w:r>
        <w:rPr>
          <w:sz w:val="32"/>
          <w:szCs w:val="32"/>
        </w:rPr>
        <w:fldChar w:fldCharType="begin"/>
      </w:r>
      <w:r>
        <w:rPr>
          <w:sz w:val="32"/>
          <w:szCs w:val="32"/>
        </w:rPr>
        <w:instrText xml:space="preserve"> PAGEREF _Toc6853 </w:instrText>
      </w:r>
      <w:r>
        <w:rPr>
          <w:sz w:val="32"/>
          <w:szCs w:val="32"/>
        </w:rPr>
        <w:fldChar w:fldCharType="separate"/>
      </w:r>
      <w:r>
        <w:rPr>
          <w:sz w:val="32"/>
          <w:szCs w:val="32"/>
        </w:rPr>
        <w:t>12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_Toc29274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指导思想</w:t>
      </w:r>
      <w:r>
        <w:rPr>
          <w:sz w:val="32"/>
          <w:szCs w:val="32"/>
        </w:rPr>
        <w:tab/>
      </w:r>
      <w:r>
        <w:rPr>
          <w:sz w:val="32"/>
          <w:szCs w:val="32"/>
        </w:rPr>
        <w:fldChar w:fldCharType="begin"/>
      </w:r>
      <w:r>
        <w:rPr>
          <w:sz w:val="32"/>
          <w:szCs w:val="32"/>
        </w:rPr>
        <w:instrText xml:space="preserve"> PAGEREF _Toc29274 </w:instrText>
      </w:r>
      <w:r>
        <w:rPr>
          <w:sz w:val="32"/>
          <w:szCs w:val="32"/>
        </w:rPr>
        <w:fldChar w:fldCharType="separate"/>
      </w:r>
      <w:r>
        <w:rPr>
          <w:sz w:val="32"/>
          <w:szCs w:val="32"/>
        </w:rPr>
        <w:t>12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_Toc23488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基本要求</w:t>
      </w:r>
      <w:r>
        <w:rPr>
          <w:sz w:val="32"/>
          <w:szCs w:val="32"/>
        </w:rPr>
        <w:tab/>
      </w:r>
      <w:r>
        <w:rPr>
          <w:sz w:val="32"/>
          <w:szCs w:val="32"/>
        </w:rPr>
        <w:fldChar w:fldCharType="begin"/>
      </w:r>
      <w:r>
        <w:rPr>
          <w:sz w:val="32"/>
          <w:szCs w:val="32"/>
        </w:rPr>
        <w:instrText xml:space="preserve"> PAGEREF _Toc23488 </w:instrText>
      </w:r>
      <w:r>
        <w:rPr>
          <w:sz w:val="32"/>
          <w:szCs w:val="32"/>
        </w:rPr>
        <w:fldChar w:fldCharType="separate"/>
      </w:r>
      <w:r>
        <w:rPr>
          <w:sz w:val="32"/>
          <w:szCs w:val="32"/>
        </w:rPr>
        <w:t>14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_Toc19021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第三章  主要目标</w:t>
      </w:r>
      <w:r>
        <w:rPr>
          <w:sz w:val="32"/>
          <w:szCs w:val="32"/>
        </w:rPr>
        <w:tab/>
      </w:r>
      <w:r>
        <w:rPr>
          <w:sz w:val="32"/>
          <w:szCs w:val="32"/>
        </w:rPr>
        <w:fldChar w:fldCharType="begin"/>
      </w:r>
      <w:r>
        <w:rPr>
          <w:sz w:val="32"/>
          <w:szCs w:val="32"/>
        </w:rPr>
        <w:instrText xml:space="preserve"> PAGEREF _Toc19021 </w:instrText>
      </w:r>
      <w:r>
        <w:rPr>
          <w:sz w:val="32"/>
          <w:szCs w:val="32"/>
        </w:rPr>
        <w:fldChar w:fldCharType="separate"/>
      </w:r>
      <w:r>
        <w:rPr>
          <w:sz w:val="32"/>
          <w:szCs w:val="32"/>
        </w:rPr>
        <w:t>15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_Toc19668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2035年远景目标</w:t>
      </w:r>
      <w:r>
        <w:rPr>
          <w:sz w:val="32"/>
          <w:szCs w:val="32"/>
        </w:rPr>
        <w:tab/>
      </w:r>
      <w:r>
        <w:rPr>
          <w:sz w:val="32"/>
          <w:szCs w:val="32"/>
        </w:rPr>
        <w:fldChar w:fldCharType="begin"/>
      </w:r>
      <w:r>
        <w:rPr>
          <w:sz w:val="32"/>
          <w:szCs w:val="32"/>
        </w:rPr>
        <w:instrText xml:space="preserve"> PAGEREF _Toc19668 </w:instrText>
      </w:r>
      <w:r>
        <w:rPr>
          <w:sz w:val="32"/>
          <w:szCs w:val="32"/>
        </w:rPr>
        <w:fldChar w:fldCharType="separate"/>
      </w:r>
      <w:r>
        <w:rPr>
          <w:sz w:val="32"/>
          <w:szCs w:val="32"/>
        </w:rPr>
        <w:t>15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_Toc12136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“十四五”经济社会发展的主要目标</w:t>
      </w:r>
      <w:r>
        <w:rPr>
          <w:sz w:val="32"/>
          <w:szCs w:val="32"/>
        </w:rPr>
        <w:tab/>
      </w:r>
      <w:r>
        <w:rPr>
          <w:sz w:val="32"/>
          <w:szCs w:val="32"/>
        </w:rPr>
        <w:fldChar w:fldCharType="begin"/>
      </w:r>
      <w:r>
        <w:rPr>
          <w:sz w:val="32"/>
          <w:szCs w:val="32"/>
        </w:rPr>
        <w:instrText xml:space="preserve"> PAGEREF _Toc12136 </w:instrText>
      </w:r>
      <w:r>
        <w:rPr>
          <w:sz w:val="32"/>
          <w:szCs w:val="32"/>
        </w:rPr>
        <w:fldChar w:fldCharType="separate"/>
      </w:r>
      <w:r>
        <w:rPr>
          <w:sz w:val="32"/>
          <w:szCs w:val="32"/>
        </w:rPr>
        <w:t>17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_Toc2853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第四章  发展定位</w:t>
      </w:r>
      <w:r>
        <w:rPr>
          <w:sz w:val="32"/>
          <w:szCs w:val="32"/>
        </w:rPr>
        <w:tab/>
      </w:r>
      <w:r>
        <w:rPr>
          <w:sz w:val="32"/>
          <w:szCs w:val="32"/>
        </w:rPr>
        <w:fldChar w:fldCharType="begin"/>
      </w:r>
      <w:r>
        <w:rPr>
          <w:sz w:val="32"/>
          <w:szCs w:val="32"/>
        </w:rPr>
        <w:instrText xml:space="preserve"> PAGEREF _Toc2853 </w:instrText>
      </w:r>
      <w:r>
        <w:rPr>
          <w:sz w:val="32"/>
          <w:szCs w:val="32"/>
        </w:rPr>
        <w:fldChar w:fldCharType="separate"/>
      </w:r>
      <w:r>
        <w:rPr>
          <w:sz w:val="32"/>
          <w:szCs w:val="32"/>
        </w:rPr>
        <w:t>21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_Toc26548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第五章  战略重点和路径</w:t>
      </w:r>
      <w:r>
        <w:rPr>
          <w:sz w:val="32"/>
          <w:szCs w:val="32"/>
        </w:rPr>
        <w:tab/>
      </w:r>
      <w:r>
        <w:rPr>
          <w:sz w:val="32"/>
          <w:szCs w:val="32"/>
        </w:rPr>
        <w:fldChar w:fldCharType="begin"/>
      </w:r>
      <w:r>
        <w:rPr>
          <w:sz w:val="32"/>
          <w:szCs w:val="32"/>
        </w:rPr>
        <w:instrText xml:space="preserve"> PAGEREF _Toc26548 </w:instrText>
      </w:r>
      <w:r>
        <w:rPr>
          <w:sz w:val="32"/>
          <w:szCs w:val="32"/>
        </w:rPr>
        <w:fldChar w:fldCharType="separate"/>
      </w:r>
      <w:r>
        <w:rPr>
          <w:sz w:val="32"/>
          <w:szCs w:val="32"/>
        </w:rPr>
        <w:t>22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_Toc21540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第二篇  深入实施创新驱动战略</w:t>
      </w:r>
      <w:r>
        <w:rPr>
          <w:sz w:val="32"/>
          <w:szCs w:val="32"/>
        </w:rPr>
        <w:tab/>
      </w:r>
      <w:r>
        <w:rPr>
          <w:sz w:val="32"/>
          <w:szCs w:val="32"/>
        </w:rPr>
        <w:fldChar w:fldCharType="begin"/>
      </w:r>
      <w:r>
        <w:rPr>
          <w:sz w:val="32"/>
          <w:szCs w:val="32"/>
        </w:rPr>
        <w:instrText xml:space="preserve"> PAGEREF _Toc21540 </w:instrText>
      </w:r>
      <w:r>
        <w:rPr>
          <w:sz w:val="32"/>
          <w:szCs w:val="32"/>
        </w:rPr>
        <w:fldChar w:fldCharType="separate"/>
      </w:r>
      <w:r>
        <w:rPr>
          <w:sz w:val="32"/>
          <w:szCs w:val="32"/>
        </w:rPr>
        <w:t>25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_Toc21543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第六章  增强创新平台和载体支撑</w:t>
      </w:r>
      <w:r>
        <w:rPr>
          <w:sz w:val="32"/>
          <w:szCs w:val="32"/>
        </w:rPr>
        <w:tab/>
      </w:r>
      <w:r>
        <w:rPr>
          <w:sz w:val="32"/>
          <w:szCs w:val="32"/>
        </w:rPr>
        <w:fldChar w:fldCharType="begin"/>
      </w:r>
      <w:r>
        <w:rPr>
          <w:sz w:val="32"/>
          <w:szCs w:val="32"/>
        </w:rPr>
        <w:instrText xml:space="preserve"> PAGEREF _Toc21543 </w:instrText>
      </w:r>
      <w:r>
        <w:rPr>
          <w:sz w:val="32"/>
          <w:szCs w:val="32"/>
        </w:rPr>
        <w:fldChar w:fldCharType="separate"/>
      </w:r>
      <w:r>
        <w:rPr>
          <w:sz w:val="32"/>
          <w:szCs w:val="32"/>
        </w:rPr>
        <w:t>25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_Toc24855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引进培育重大科技创新平台</w:t>
      </w:r>
      <w:r>
        <w:rPr>
          <w:sz w:val="32"/>
          <w:szCs w:val="32"/>
        </w:rPr>
        <w:tab/>
      </w:r>
      <w:r>
        <w:rPr>
          <w:sz w:val="32"/>
          <w:szCs w:val="32"/>
        </w:rPr>
        <w:fldChar w:fldCharType="begin"/>
      </w:r>
      <w:r>
        <w:rPr>
          <w:sz w:val="32"/>
          <w:szCs w:val="32"/>
        </w:rPr>
        <w:instrText xml:space="preserve"> PAGEREF _Toc24855 </w:instrText>
      </w:r>
      <w:r>
        <w:rPr>
          <w:sz w:val="32"/>
          <w:szCs w:val="32"/>
        </w:rPr>
        <w:fldChar w:fldCharType="separate"/>
      </w:r>
      <w:r>
        <w:rPr>
          <w:sz w:val="32"/>
          <w:szCs w:val="32"/>
        </w:rPr>
        <w:t>26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_Toc15502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提升创新载体功能</w:t>
      </w:r>
      <w:r>
        <w:rPr>
          <w:sz w:val="32"/>
          <w:szCs w:val="32"/>
        </w:rPr>
        <w:tab/>
      </w:r>
      <w:r>
        <w:rPr>
          <w:sz w:val="32"/>
          <w:szCs w:val="32"/>
        </w:rPr>
        <w:fldChar w:fldCharType="begin"/>
      </w:r>
      <w:r>
        <w:rPr>
          <w:sz w:val="32"/>
          <w:szCs w:val="32"/>
        </w:rPr>
        <w:instrText xml:space="preserve"> PAGEREF _Toc15502 </w:instrText>
      </w:r>
      <w:r>
        <w:rPr>
          <w:sz w:val="32"/>
          <w:szCs w:val="32"/>
        </w:rPr>
        <w:fldChar w:fldCharType="separate"/>
      </w:r>
      <w:r>
        <w:rPr>
          <w:sz w:val="32"/>
          <w:szCs w:val="32"/>
        </w:rPr>
        <w:t>26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_Toc26566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第七章  强化企业创新主体地位</w:t>
      </w:r>
      <w:r>
        <w:rPr>
          <w:sz w:val="32"/>
          <w:szCs w:val="32"/>
        </w:rPr>
        <w:tab/>
      </w:r>
      <w:r>
        <w:rPr>
          <w:sz w:val="32"/>
          <w:szCs w:val="32"/>
        </w:rPr>
        <w:fldChar w:fldCharType="begin"/>
      </w:r>
      <w:r>
        <w:rPr>
          <w:sz w:val="32"/>
          <w:szCs w:val="32"/>
        </w:rPr>
        <w:instrText xml:space="preserve"> PAGEREF _Toc26566 </w:instrText>
      </w:r>
      <w:r>
        <w:rPr>
          <w:sz w:val="32"/>
          <w:szCs w:val="32"/>
        </w:rPr>
        <w:fldChar w:fldCharType="separate"/>
      </w:r>
      <w:r>
        <w:rPr>
          <w:sz w:val="32"/>
          <w:szCs w:val="32"/>
        </w:rPr>
        <w:t>27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_Toc8184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培育壮大创新企业群体</w:t>
      </w:r>
      <w:r>
        <w:rPr>
          <w:sz w:val="32"/>
          <w:szCs w:val="32"/>
        </w:rPr>
        <w:tab/>
      </w:r>
      <w:r>
        <w:rPr>
          <w:sz w:val="32"/>
          <w:szCs w:val="32"/>
        </w:rPr>
        <w:fldChar w:fldCharType="begin"/>
      </w:r>
      <w:r>
        <w:rPr>
          <w:sz w:val="32"/>
          <w:szCs w:val="32"/>
        </w:rPr>
        <w:instrText xml:space="preserve"> PAGEREF _Toc8184 </w:instrText>
      </w:r>
      <w:r>
        <w:rPr>
          <w:sz w:val="32"/>
          <w:szCs w:val="32"/>
        </w:rPr>
        <w:fldChar w:fldCharType="separate"/>
      </w:r>
      <w:r>
        <w:rPr>
          <w:sz w:val="32"/>
          <w:szCs w:val="32"/>
        </w:rPr>
        <w:t>27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_Toc12742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引导企业加大研发投入</w:t>
      </w:r>
      <w:r>
        <w:rPr>
          <w:sz w:val="32"/>
          <w:szCs w:val="32"/>
        </w:rPr>
        <w:tab/>
      </w:r>
      <w:r>
        <w:rPr>
          <w:sz w:val="32"/>
          <w:szCs w:val="32"/>
        </w:rPr>
        <w:fldChar w:fldCharType="begin"/>
      </w:r>
      <w:r>
        <w:rPr>
          <w:sz w:val="32"/>
          <w:szCs w:val="32"/>
        </w:rPr>
        <w:instrText xml:space="preserve"> PAGEREF _Toc12742 </w:instrText>
      </w:r>
      <w:r>
        <w:rPr>
          <w:sz w:val="32"/>
          <w:szCs w:val="32"/>
        </w:rPr>
        <w:fldChar w:fldCharType="separate"/>
      </w:r>
      <w:r>
        <w:rPr>
          <w:sz w:val="32"/>
          <w:szCs w:val="32"/>
        </w:rPr>
        <w:t>28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_Toc21853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第八章  强化科技创新人才支撑</w:t>
      </w:r>
      <w:r>
        <w:rPr>
          <w:sz w:val="32"/>
          <w:szCs w:val="32"/>
        </w:rPr>
        <w:tab/>
      </w:r>
      <w:r>
        <w:rPr>
          <w:sz w:val="32"/>
          <w:szCs w:val="32"/>
        </w:rPr>
        <w:fldChar w:fldCharType="begin"/>
      </w:r>
      <w:r>
        <w:rPr>
          <w:sz w:val="32"/>
          <w:szCs w:val="32"/>
        </w:rPr>
        <w:instrText xml:space="preserve"> PAGEREF _Toc21853 </w:instrText>
      </w:r>
      <w:r>
        <w:rPr>
          <w:sz w:val="32"/>
          <w:szCs w:val="32"/>
        </w:rPr>
        <w:fldChar w:fldCharType="separate"/>
      </w:r>
      <w:r>
        <w:rPr>
          <w:sz w:val="32"/>
          <w:szCs w:val="32"/>
        </w:rPr>
        <w:t>28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_Toc1792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加强人才培养开发</w:t>
      </w:r>
      <w:r>
        <w:rPr>
          <w:sz w:val="32"/>
          <w:szCs w:val="32"/>
        </w:rPr>
        <w:tab/>
      </w:r>
      <w:r>
        <w:rPr>
          <w:sz w:val="32"/>
          <w:szCs w:val="32"/>
        </w:rPr>
        <w:fldChar w:fldCharType="begin"/>
      </w:r>
      <w:r>
        <w:rPr>
          <w:sz w:val="32"/>
          <w:szCs w:val="32"/>
        </w:rPr>
        <w:instrText xml:space="preserve"> PAGEREF _Toc1792 </w:instrText>
      </w:r>
      <w:r>
        <w:rPr>
          <w:sz w:val="32"/>
          <w:szCs w:val="32"/>
        </w:rPr>
        <w:fldChar w:fldCharType="separate"/>
      </w:r>
      <w:r>
        <w:rPr>
          <w:sz w:val="32"/>
          <w:szCs w:val="32"/>
        </w:rPr>
        <w:t>28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_Toc26260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更大力度引进人才</w:t>
      </w:r>
      <w:r>
        <w:rPr>
          <w:sz w:val="32"/>
          <w:szCs w:val="32"/>
        </w:rPr>
        <w:tab/>
      </w:r>
      <w:r>
        <w:rPr>
          <w:sz w:val="32"/>
          <w:szCs w:val="32"/>
        </w:rPr>
        <w:fldChar w:fldCharType="begin"/>
      </w:r>
      <w:r>
        <w:rPr>
          <w:sz w:val="32"/>
          <w:szCs w:val="32"/>
        </w:rPr>
        <w:instrText xml:space="preserve"> PAGEREF _Toc26260 </w:instrText>
      </w:r>
      <w:r>
        <w:rPr>
          <w:sz w:val="32"/>
          <w:szCs w:val="32"/>
        </w:rPr>
        <w:fldChar w:fldCharType="separate"/>
      </w:r>
      <w:r>
        <w:rPr>
          <w:sz w:val="32"/>
          <w:szCs w:val="32"/>
        </w:rPr>
        <w:t>29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_Toc19795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深化人才体制机制改革</w:t>
      </w:r>
      <w:r>
        <w:rPr>
          <w:sz w:val="32"/>
          <w:szCs w:val="32"/>
        </w:rPr>
        <w:tab/>
      </w:r>
      <w:r>
        <w:rPr>
          <w:sz w:val="32"/>
          <w:szCs w:val="32"/>
        </w:rPr>
        <w:fldChar w:fldCharType="begin"/>
      </w:r>
      <w:r>
        <w:rPr>
          <w:sz w:val="32"/>
          <w:szCs w:val="32"/>
        </w:rPr>
        <w:instrText xml:space="preserve"> PAGEREF _Toc19795 </w:instrText>
      </w:r>
      <w:r>
        <w:rPr>
          <w:sz w:val="32"/>
          <w:szCs w:val="32"/>
        </w:rPr>
        <w:fldChar w:fldCharType="separate"/>
      </w:r>
      <w:r>
        <w:rPr>
          <w:sz w:val="32"/>
          <w:szCs w:val="32"/>
        </w:rPr>
        <w:t>29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_Toc8145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第九章  大力实施产业创新发展战略</w:t>
      </w:r>
      <w:r>
        <w:rPr>
          <w:sz w:val="32"/>
          <w:szCs w:val="32"/>
        </w:rPr>
        <w:tab/>
      </w:r>
      <w:r>
        <w:rPr>
          <w:sz w:val="32"/>
          <w:szCs w:val="32"/>
        </w:rPr>
        <w:fldChar w:fldCharType="begin"/>
      </w:r>
      <w:r>
        <w:rPr>
          <w:sz w:val="32"/>
          <w:szCs w:val="32"/>
        </w:rPr>
        <w:instrText xml:space="preserve"> PAGEREF _Toc8145 </w:instrText>
      </w:r>
      <w:r>
        <w:rPr>
          <w:sz w:val="32"/>
          <w:szCs w:val="32"/>
        </w:rPr>
        <w:fldChar w:fldCharType="separate"/>
      </w:r>
      <w:r>
        <w:rPr>
          <w:sz w:val="32"/>
          <w:szCs w:val="32"/>
        </w:rPr>
        <w:t>30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_Toc3732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加强关键技术研发攻关</w:t>
      </w:r>
      <w:r>
        <w:rPr>
          <w:sz w:val="32"/>
          <w:szCs w:val="32"/>
        </w:rPr>
        <w:tab/>
      </w:r>
      <w:r>
        <w:rPr>
          <w:sz w:val="32"/>
          <w:szCs w:val="32"/>
        </w:rPr>
        <w:fldChar w:fldCharType="begin"/>
      </w:r>
      <w:r>
        <w:rPr>
          <w:sz w:val="32"/>
          <w:szCs w:val="32"/>
        </w:rPr>
        <w:instrText xml:space="preserve"> PAGEREF _Toc3732 </w:instrText>
      </w:r>
      <w:r>
        <w:rPr>
          <w:sz w:val="32"/>
          <w:szCs w:val="32"/>
        </w:rPr>
        <w:fldChar w:fldCharType="separate"/>
      </w:r>
      <w:r>
        <w:rPr>
          <w:sz w:val="32"/>
          <w:szCs w:val="32"/>
        </w:rPr>
        <w:t>30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_Toc24645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促进科技成果转化</w:t>
      </w:r>
      <w:r>
        <w:rPr>
          <w:sz w:val="32"/>
          <w:szCs w:val="32"/>
        </w:rPr>
        <w:tab/>
      </w:r>
      <w:r>
        <w:rPr>
          <w:sz w:val="32"/>
          <w:szCs w:val="32"/>
        </w:rPr>
        <w:fldChar w:fldCharType="begin"/>
      </w:r>
      <w:r>
        <w:rPr>
          <w:sz w:val="32"/>
          <w:szCs w:val="32"/>
        </w:rPr>
        <w:instrText xml:space="preserve"> PAGEREF _Toc24645 </w:instrText>
      </w:r>
      <w:r>
        <w:rPr>
          <w:sz w:val="32"/>
          <w:szCs w:val="32"/>
        </w:rPr>
        <w:fldChar w:fldCharType="separate"/>
      </w:r>
      <w:r>
        <w:rPr>
          <w:sz w:val="32"/>
          <w:szCs w:val="32"/>
        </w:rPr>
        <w:t>31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_Toc24371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第十章  构建良好的创新生态</w:t>
      </w:r>
      <w:r>
        <w:rPr>
          <w:sz w:val="32"/>
          <w:szCs w:val="32"/>
        </w:rPr>
        <w:tab/>
      </w:r>
      <w:r>
        <w:rPr>
          <w:sz w:val="32"/>
          <w:szCs w:val="32"/>
        </w:rPr>
        <w:fldChar w:fldCharType="begin"/>
      </w:r>
      <w:r>
        <w:rPr>
          <w:sz w:val="32"/>
          <w:szCs w:val="32"/>
        </w:rPr>
        <w:instrText xml:space="preserve"> PAGEREF _Toc24371 </w:instrText>
      </w:r>
      <w:r>
        <w:rPr>
          <w:sz w:val="32"/>
          <w:szCs w:val="32"/>
        </w:rPr>
        <w:fldChar w:fldCharType="separate"/>
      </w:r>
      <w:r>
        <w:rPr>
          <w:sz w:val="32"/>
          <w:szCs w:val="32"/>
        </w:rPr>
        <w:t>31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_Toc23705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健全创新发展体制机制</w:t>
      </w:r>
      <w:r>
        <w:rPr>
          <w:sz w:val="32"/>
          <w:szCs w:val="32"/>
        </w:rPr>
        <w:tab/>
      </w:r>
      <w:r>
        <w:rPr>
          <w:sz w:val="32"/>
          <w:szCs w:val="32"/>
        </w:rPr>
        <w:fldChar w:fldCharType="begin"/>
      </w:r>
      <w:r>
        <w:rPr>
          <w:sz w:val="32"/>
          <w:szCs w:val="32"/>
        </w:rPr>
        <w:instrText xml:space="preserve"> PAGEREF _Toc23705 </w:instrText>
      </w:r>
      <w:r>
        <w:rPr>
          <w:sz w:val="32"/>
          <w:szCs w:val="32"/>
        </w:rPr>
        <w:fldChar w:fldCharType="separate"/>
      </w:r>
      <w:r>
        <w:rPr>
          <w:sz w:val="32"/>
          <w:szCs w:val="32"/>
        </w:rPr>
        <w:t>31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_Toc13125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完善企业创新服务体系</w:t>
      </w:r>
      <w:r>
        <w:rPr>
          <w:sz w:val="32"/>
          <w:szCs w:val="32"/>
        </w:rPr>
        <w:tab/>
      </w:r>
      <w:r>
        <w:rPr>
          <w:sz w:val="32"/>
          <w:szCs w:val="32"/>
        </w:rPr>
        <w:fldChar w:fldCharType="begin"/>
      </w:r>
      <w:r>
        <w:rPr>
          <w:sz w:val="32"/>
          <w:szCs w:val="32"/>
        </w:rPr>
        <w:instrText xml:space="preserve"> PAGEREF _Toc13125 </w:instrText>
      </w:r>
      <w:r>
        <w:rPr>
          <w:sz w:val="32"/>
          <w:szCs w:val="32"/>
        </w:rPr>
        <w:fldChar w:fldCharType="separate"/>
      </w:r>
      <w:r>
        <w:rPr>
          <w:sz w:val="32"/>
          <w:szCs w:val="32"/>
        </w:rPr>
        <w:t>32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_Toc19030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营造良好创新氛围</w:t>
      </w:r>
      <w:r>
        <w:rPr>
          <w:sz w:val="32"/>
          <w:szCs w:val="32"/>
        </w:rPr>
        <w:tab/>
      </w:r>
      <w:r>
        <w:rPr>
          <w:sz w:val="32"/>
          <w:szCs w:val="32"/>
        </w:rPr>
        <w:fldChar w:fldCharType="begin"/>
      </w:r>
      <w:r>
        <w:rPr>
          <w:sz w:val="32"/>
          <w:szCs w:val="32"/>
        </w:rPr>
        <w:instrText xml:space="preserve"> PAGEREF _Toc19030 </w:instrText>
      </w:r>
      <w:r>
        <w:rPr>
          <w:sz w:val="32"/>
          <w:szCs w:val="32"/>
        </w:rPr>
        <w:fldChar w:fldCharType="separate"/>
      </w:r>
      <w:r>
        <w:rPr>
          <w:sz w:val="32"/>
          <w:szCs w:val="32"/>
        </w:rPr>
        <w:t>32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_Toc23765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第三篇  加快构建现代化产业体系</w:t>
      </w:r>
      <w:r>
        <w:rPr>
          <w:sz w:val="32"/>
          <w:szCs w:val="32"/>
        </w:rPr>
        <w:tab/>
      </w:r>
      <w:r>
        <w:rPr>
          <w:sz w:val="32"/>
          <w:szCs w:val="32"/>
        </w:rPr>
        <w:fldChar w:fldCharType="begin"/>
      </w:r>
      <w:r>
        <w:rPr>
          <w:sz w:val="32"/>
          <w:szCs w:val="32"/>
        </w:rPr>
        <w:instrText xml:space="preserve"> PAGEREF _Toc23765 </w:instrText>
      </w:r>
      <w:r>
        <w:rPr>
          <w:sz w:val="32"/>
          <w:szCs w:val="32"/>
        </w:rPr>
        <w:fldChar w:fldCharType="separate"/>
      </w:r>
      <w:r>
        <w:rPr>
          <w:sz w:val="32"/>
          <w:szCs w:val="32"/>
        </w:rPr>
        <w:t>33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_Toc25465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第十一章  实施新兴产业链集群提速行动</w:t>
      </w:r>
      <w:r>
        <w:rPr>
          <w:sz w:val="32"/>
          <w:szCs w:val="32"/>
        </w:rPr>
        <w:tab/>
      </w:r>
      <w:r>
        <w:rPr>
          <w:sz w:val="32"/>
          <w:szCs w:val="32"/>
        </w:rPr>
        <w:fldChar w:fldCharType="begin"/>
      </w:r>
      <w:r>
        <w:rPr>
          <w:sz w:val="32"/>
          <w:szCs w:val="32"/>
        </w:rPr>
        <w:instrText xml:space="preserve"> PAGEREF _Toc25465 </w:instrText>
      </w:r>
      <w:r>
        <w:rPr>
          <w:sz w:val="32"/>
          <w:szCs w:val="32"/>
        </w:rPr>
        <w:fldChar w:fldCharType="separate"/>
      </w:r>
      <w:r>
        <w:rPr>
          <w:sz w:val="32"/>
          <w:szCs w:val="32"/>
        </w:rPr>
        <w:t>34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_Toc1432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把壮大现代产业集群作为主攻方向</w:t>
      </w:r>
      <w:r>
        <w:rPr>
          <w:sz w:val="32"/>
          <w:szCs w:val="32"/>
        </w:rPr>
        <w:tab/>
      </w:r>
      <w:r>
        <w:rPr>
          <w:sz w:val="32"/>
          <w:szCs w:val="32"/>
        </w:rPr>
        <w:fldChar w:fldCharType="begin"/>
      </w:r>
      <w:r>
        <w:rPr>
          <w:sz w:val="32"/>
          <w:szCs w:val="32"/>
        </w:rPr>
        <w:instrText xml:space="preserve"> PAGEREF _Toc1432 </w:instrText>
      </w:r>
      <w:r>
        <w:rPr>
          <w:sz w:val="32"/>
          <w:szCs w:val="32"/>
        </w:rPr>
        <w:fldChar w:fldCharType="separate"/>
      </w:r>
      <w:r>
        <w:rPr>
          <w:sz w:val="32"/>
          <w:szCs w:val="32"/>
        </w:rPr>
        <w:t>34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_Toc27591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实施企业“三大改造”转型升级工程</w:t>
      </w:r>
      <w:r>
        <w:rPr>
          <w:sz w:val="32"/>
          <w:szCs w:val="32"/>
        </w:rPr>
        <w:tab/>
      </w:r>
      <w:r>
        <w:rPr>
          <w:sz w:val="32"/>
          <w:szCs w:val="32"/>
        </w:rPr>
        <w:fldChar w:fldCharType="begin"/>
      </w:r>
      <w:r>
        <w:rPr>
          <w:sz w:val="32"/>
          <w:szCs w:val="32"/>
        </w:rPr>
        <w:instrText xml:space="preserve"> PAGEREF _Toc27591 </w:instrText>
      </w:r>
      <w:r>
        <w:rPr>
          <w:sz w:val="32"/>
          <w:szCs w:val="32"/>
        </w:rPr>
        <w:fldChar w:fldCharType="separate"/>
      </w:r>
      <w:r>
        <w:rPr>
          <w:sz w:val="32"/>
          <w:szCs w:val="32"/>
        </w:rPr>
        <w:t>35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_Toc18308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实施“两区”“二次创业”工程</w:t>
      </w:r>
      <w:r>
        <w:rPr>
          <w:sz w:val="32"/>
          <w:szCs w:val="32"/>
        </w:rPr>
        <w:tab/>
      </w:r>
      <w:r>
        <w:rPr>
          <w:sz w:val="32"/>
          <w:szCs w:val="32"/>
        </w:rPr>
        <w:fldChar w:fldCharType="begin"/>
      </w:r>
      <w:r>
        <w:rPr>
          <w:sz w:val="32"/>
          <w:szCs w:val="32"/>
        </w:rPr>
        <w:instrText xml:space="preserve"> PAGEREF _Toc18308 </w:instrText>
      </w:r>
      <w:r>
        <w:rPr>
          <w:sz w:val="32"/>
          <w:szCs w:val="32"/>
        </w:rPr>
        <w:fldChar w:fldCharType="separate"/>
      </w:r>
      <w:r>
        <w:rPr>
          <w:sz w:val="32"/>
          <w:szCs w:val="32"/>
        </w:rPr>
        <w:t>36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_Toc28061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第十二章  实施现代服务业提质提速工程</w:t>
      </w:r>
      <w:r>
        <w:rPr>
          <w:sz w:val="32"/>
          <w:szCs w:val="32"/>
        </w:rPr>
        <w:tab/>
      </w:r>
      <w:r>
        <w:rPr>
          <w:sz w:val="32"/>
          <w:szCs w:val="32"/>
        </w:rPr>
        <w:fldChar w:fldCharType="begin"/>
      </w:r>
      <w:r>
        <w:rPr>
          <w:sz w:val="32"/>
          <w:szCs w:val="32"/>
        </w:rPr>
        <w:instrText xml:space="preserve"> PAGEREF _Toc28061 </w:instrText>
      </w:r>
      <w:r>
        <w:rPr>
          <w:sz w:val="32"/>
          <w:szCs w:val="32"/>
        </w:rPr>
        <w:fldChar w:fldCharType="separate"/>
      </w:r>
      <w:r>
        <w:rPr>
          <w:sz w:val="32"/>
          <w:szCs w:val="32"/>
        </w:rPr>
        <w:t>38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_Toc25304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第一节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加快生产性服务业发展</w:t>
      </w:r>
      <w:r>
        <w:rPr>
          <w:sz w:val="32"/>
          <w:szCs w:val="32"/>
        </w:rPr>
        <w:tab/>
      </w:r>
      <w:r>
        <w:rPr>
          <w:sz w:val="32"/>
          <w:szCs w:val="32"/>
        </w:rPr>
        <w:fldChar w:fldCharType="begin"/>
      </w:r>
      <w:r>
        <w:rPr>
          <w:sz w:val="32"/>
          <w:szCs w:val="32"/>
        </w:rPr>
        <w:instrText xml:space="preserve"> PAGEREF _Toc25304 </w:instrText>
      </w:r>
      <w:r>
        <w:rPr>
          <w:sz w:val="32"/>
          <w:szCs w:val="32"/>
        </w:rPr>
        <w:fldChar w:fldCharType="separate"/>
      </w:r>
      <w:r>
        <w:rPr>
          <w:sz w:val="32"/>
          <w:szCs w:val="32"/>
        </w:rPr>
        <w:t>38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_Toc21062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打造电子商务升级版</w:t>
      </w:r>
      <w:r>
        <w:rPr>
          <w:sz w:val="32"/>
          <w:szCs w:val="32"/>
        </w:rPr>
        <w:tab/>
      </w:r>
      <w:r>
        <w:rPr>
          <w:sz w:val="32"/>
          <w:szCs w:val="32"/>
        </w:rPr>
        <w:fldChar w:fldCharType="begin"/>
      </w:r>
      <w:r>
        <w:rPr>
          <w:sz w:val="32"/>
          <w:szCs w:val="32"/>
        </w:rPr>
        <w:instrText xml:space="preserve"> PAGEREF _Toc21062 </w:instrText>
      </w:r>
      <w:r>
        <w:rPr>
          <w:sz w:val="32"/>
          <w:szCs w:val="32"/>
        </w:rPr>
        <w:fldChar w:fldCharType="separate"/>
      </w:r>
      <w:r>
        <w:rPr>
          <w:sz w:val="32"/>
          <w:szCs w:val="32"/>
        </w:rPr>
        <w:t>38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_Toc17806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第三节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打造临港枢纽经济新引擎</w:t>
      </w:r>
      <w:r>
        <w:rPr>
          <w:sz w:val="32"/>
          <w:szCs w:val="32"/>
        </w:rPr>
        <w:tab/>
      </w:r>
      <w:r>
        <w:rPr>
          <w:sz w:val="32"/>
          <w:szCs w:val="32"/>
        </w:rPr>
        <w:fldChar w:fldCharType="begin"/>
      </w:r>
      <w:r>
        <w:rPr>
          <w:sz w:val="32"/>
          <w:szCs w:val="32"/>
        </w:rPr>
        <w:instrText xml:space="preserve"> PAGEREF _Toc17806 </w:instrText>
      </w:r>
      <w:r>
        <w:rPr>
          <w:sz w:val="32"/>
          <w:szCs w:val="32"/>
        </w:rPr>
        <w:fldChar w:fldCharType="separate"/>
      </w:r>
      <w:r>
        <w:rPr>
          <w:sz w:val="32"/>
          <w:szCs w:val="32"/>
        </w:rPr>
        <w:t>39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_Toc23085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培育现代物流产业新优势</w:t>
      </w:r>
      <w:r>
        <w:rPr>
          <w:sz w:val="32"/>
          <w:szCs w:val="32"/>
        </w:rPr>
        <w:tab/>
      </w:r>
      <w:r>
        <w:rPr>
          <w:sz w:val="32"/>
          <w:szCs w:val="32"/>
        </w:rPr>
        <w:fldChar w:fldCharType="begin"/>
      </w:r>
      <w:r>
        <w:rPr>
          <w:sz w:val="32"/>
          <w:szCs w:val="32"/>
        </w:rPr>
        <w:instrText xml:space="preserve"> PAGEREF _Toc23085 </w:instrText>
      </w:r>
      <w:r>
        <w:rPr>
          <w:sz w:val="32"/>
          <w:szCs w:val="32"/>
        </w:rPr>
        <w:fldChar w:fldCharType="separate"/>
      </w:r>
      <w:r>
        <w:rPr>
          <w:sz w:val="32"/>
          <w:szCs w:val="32"/>
        </w:rPr>
        <w:t>40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_Toc30556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第五节  大力发展文化旅游业</w:t>
      </w:r>
      <w:r>
        <w:rPr>
          <w:sz w:val="32"/>
          <w:szCs w:val="32"/>
        </w:rPr>
        <w:tab/>
      </w:r>
      <w:r>
        <w:rPr>
          <w:sz w:val="32"/>
          <w:szCs w:val="32"/>
        </w:rPr>
        <w:fldChar w:fldCharType="begin"/>
      </w:r>
      <w:r>
        <w:rPr>
          <w:sz w:val="32"/>
          <w:szCs w:val="32"/>
        </w:rPr>
        <w:instrText xml:space="preserve"> PAGEREF _Toc30556 </w:instrText>
      </w:r>
      <w:r>
        <w:rPr>
          <w:sz w:val="32"/>
          <w:szCs w:val="32"/>
        </w:rPr>
        <w:fldChar w:fldCharType="separate"/>
      </w:r>
      <w:r>
        <w:rPr>
          <w:sz w:val="32"/>
          <w:szCs w:val="32"/>
        </w:rPr>
        <w:t>40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_Toc23387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第六节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提升金融服务业发展水平</w:t>
      </w:r>
      <w:r>
        <w:rPr>
          <w:sz w:val="32"/>
          <w:szCs w:val="32"/>
        </w:rPr>
        <w:tab/>
      </w:r>
      <w:r>
        <w:rPr>
          <w:sz w:val="32"/>
          <w:szCs w:val="32"/>
        </w:rPr>
        <w:fldChar w:fldCharType="begin"/>
      </w:r>
      <w:r>
        <w:rPr>
          <w:sz w:val="32"/>
          <w:szCs w:val="32"/>
        </w:rPr>
        <w:instrText xml:space="preserve"> PAGEREF _Toc23387 </w:instrText>
      </w:r>
      <w:r>
        <w:rPr>
          <w:sz w:val="32"/>
          <w:szCs w:val="32"/>
        </w:rPr>
        <w:fldChar w:fldCharType="separate"/>
      </w:r>
      <w:r>
        <w:rPr>
          <w:sz w:val="32"/>
          <w:szCs w:val="32"/>
        </w:rPr>
        <w:t>41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_Toc22182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第七节</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 xml:space="preserve"> 积极发展生活性服务业</w:t>
      </w:r>
      <w:r>
        <w:rPr>
          <w:sz w:val="32"/>
          <w:szCs w:val="32"/>
        </w:rPr>
        <w:tab/>
      </w:r>
      <w:r>
        <w:rPr>
          <w:sz w:val="32"/>
          <w:szCs w:val="32"/>
        </w:rPr>
        <w:fldChar w:fldCharType="begin"/>
      </w:r>
      <w:r>
        <w:rPr>
          <w:sz w:val="32"/>
          <w:szCs w:val="32"/>
        </w:rPr>
        <w:instrText xml:space="preserve"> PAGEREF _Toc22182 </w:instrText>
      </w:r>
      <w:r>
        <w:rPr>
          <w:sz w:val="32"/>
          <w:szCs w:val="32"/>
        </w:rPr>
        <w:fldChar w:fldCharType="separate"/>
      </w:r>
      <w:r>
        <w:rPr>
          <w:sz w:val="32"/>
          <w:szCs w:val="32"/>
        </w:rPr>
        <w:t>41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_Toc8481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第十三章  加快数字化发展</w:t>
      </w:r>
      <w:r>
        <w:rPr>
          <w:sz w:val="32"/>
          <w:szCs w:val="32"/>
        </w:rPr>
        <w:tab/>
      </w:r>
      <w:r>
        <w:rPr>
          <w:sz w:val="32"/>
          <w:szCs w:val="32"/>
        </w:rPr>
        <w:fldChar w:fldCharType="begin"/>
      </w:r>
      <w:r>
        <w:rPr>
          <w:sz w:val="32"/>
          <w:szCs w:val="32"/>
        </w:rPr>
        <w:instrText xml:space="preserve"> PAGEREF _Toc8481 </w:instrText>
      </w:r>
      <w:r>
        <w:rPr>
          <w:sz w:val="32"/>
          <w:szCs w:val="32"/>
        </w:rPr>
        <w:fldChar w:fldCharType="separate"/>
      </w:r>
      <w:r>
        <w:rPr>
          <w:sz w:val="32"/>
          <w:szCs w:val="32"/>
        </w:rPr>
        <w:t>43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_Toc13837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推进产业数字化转型</w:t>
      </w:r>
      <w:r>
        <w:rPr>
          <w:sz w:val="32"/>
          <w:szCs w:val="32"/>
        </w:rPr>
        <w:tab/>
      </w:r>
      <w:r>
        <w:rPr>
          <w:sz w:val="32"/>
          <w:szCs w:val="32"/>
        </w:rPr>
        <w:fldChar w:fldCharType="begin"/>
      </w:r>
      <w:r>
        <w:rPr>
          <w:sz w:val="32"/>
          <w:szCs w:val="32"/>
        </w:rPr>
        <w:instrText xml:space="preserve"> PAGEREF _Toc13837 </w:instrText>
      </w:r>
      <w:r>
        <w:rPr>
          <w:sz w:val="32"/>
          <w:szCs w:val="32"/>
        </w:rPr>
        <w:fldChar w:fldCharType="separate"/>
      </w:r>
      <w:r>
        <w:rPr>
          <w:sz w:val="32"/>
          <w:szCs w:val="32"/>
        </w:rPr>
        <w:t>43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_Toc24035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第二节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加强数字社会建设</w:t>
      </w:r>
      <w:r>
        <w:rPr>
          <w:sz w:val="32"/>
          <w:szCs w:val="32"/>
        </w:rPr>
        <w:tab/>
      </w:r>
      <w:r>
        <w:rPr>
          <w:sz w:val="32"/>
          <w:szCs w:val="32"/>
        </w:rPr>
        <w:fldChar w:fldCharType="begin"/>
      </w:r>
      <w:r>
        <w:rPr>
          <w:sz w:val="32"/>
          <w:szCs w:val="32"/>
        </w:rPr>
        <w:instrText xml:space="preserve"> PAGEREF _Toc24035 </w:instrText>
      </w:r>
      <w:r>
        <w:rPr>
          <w:sz w:val="32"/>
          <w:szCs w:val="32"/>
        </w:rPr>
        <w:fldChar w:fldCharType="separate"/>
      </w:r>
      <w:r>
        <w:rPr>
          <w:sz w:val="32"/>
          <w:szCs w:val="32"/>
        </w:rPr>
        <w:t>44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_Toc10119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提升数字化治理水平</w:t>
      </w:r>
      <w:r>
        <w:rPr>
          <w:sz w:val="32"/>
          <w:szCs w:val="32"/>
        </w:rPr>
        <w:tab/>
      </w:r>
      <w:r>
        <w:rPr>
          <w:sz w:val="32"/>
          <w:szCs w:val="32"/>
        </w:rPr>
        <w:fldChar w:fldCharType="begin"/>
      </w:r>
      <w:r>
        <w:rPr>
          <w:sz w:val="32"/>
          <w:szCs w:val="32"/>
        </w:rPr>
        <w:instrText xml:space="preserve"> PAGEREF _Toc10119 </w:instrText>
      </w:r>
      <w:r>
        <w:rPr>
          <w:sz w:val="32"/>
          <w:szCs w:val="32"/>
        </w:rPr>
        <w:fldChar w:fldCharType="separate"/>
      </w:r>
      <w:r>
        <w:rPr>
          <w:sz w:val="32"/>
          <w:szCs w:val="32"/>
        </w:rPr>
        <w:t>45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_Toc26711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第四篇  全面深化改革</w:t>
      </w:r>
      <w:r>
        <w:rPr>
          <w:sz w:val="32"/>
          <w:szCs w:val="32"/>
        </w:rPr>
        <w:tab/>
      </w:r>
      <w:r>
        <w:rPr>
          <w:sz w:val="32"/>
          <w:szCs w:val="32"/>
        </w:rPr>
        <w:fldChar w:fldCharType="begin"/>
      </w:r>
      <w:r>
        <w:rPr>
          <w:sz w:val="32"/>
          <w:szCs w:val="32"/>
        </w:rPr>
        <w:instrText xml:space="preserve"> PAGEREF _Toc26711 </w:instrText>
      </w:r>
      <w:r>
        <w:rPr>
          <w:sz w:val="32"/>
          <w:szCs w:val="32"/>
        </w:rPr>
        <w:fldChar w:fldCharType="separate"/>
      </w:r>
      <w:r>
        <w:rPr>
          <w:sz w:val="32"/>
          <w:szCs w:val="32"/>
        </w:rPr>
        <w:t>45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_Toc26914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第十四章  优化营商环境</w:t>
      </w:r>
      <w:r>
        <w:rPr>
          <w:sz w:val="32"/>
          <w:szCs w:val="32"/>
        </w:rPr>
        <w:tab/>
      </w:r>
      <w:r>
        <w:rPr>
          <w:sz w:val="32"/>
          <w:szCs w:val="32"/>
        </w:rPr>
        <w:fldChar w:fldCharType="begin"/>
      </w:r>
      <w:r>
        <w:rPr>
          <w:sz w:val="32"/>
          <w:szCs w:val="32"/>
        </w:rPr>
        <w:instrText xml:space="preserve"> PAGEREF _Toc26914 </w:instrText>
      </w:r>
      <w:r>
        <w:rPr>
          <w:sz w:val="32"/>
          <w:szCs w:val="32"/>
        </w:rPr>
        <w:fldChar w:fldCharType="separate"/>
      </w:r>
      <w:r>
        <w:rPr>
          <w:sz w:val="32"/>
          <w:szCs w:val="32"/>
        </w:rPr>
        <w:t>45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_Toc1983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营造高效便捷的政务环境</w:t>
      </w:r>
      <w:r>
        <w:rPr>
          <w:sz w:val="32"/>
          <w:szCs w:val="32"/>
        </w:rPr>
        <w:tab/>
      </w:r>
      <w:r>
        <w:rPr>
          <w:sz w:val="32"/>
          <w:szCs w:val="32"/>
        </w:rPr>
        <w:fldChar w:fldCharType="begin"/>
      </w:r>
      <w:r>
        <w:rPr>
          <w:sz w:val="32"/>
          <w:szCs w:val="32"/>
        </w:rPr>
        <w:instrText xml:space="preserve"> PAGEREF _Toc1983 </w:instrText>
      </w:r>
      <w:r>
        <w:rPr>
          <w:sz w:val="32"/>
          <w:szCs w:val="32"/>
        </w:rPr>
        <w:fldChar w:fldCharType="separate"/>
      </w:r>
      <w:r>
        <w:rPr>
          <w:sz w:val="32"/>
          <w:szCs w:val="32"/>
        </w:rPr>
        <w:t>45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_Toc18650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营造公平公正的法治环境</w:t>
      </w:r>
      <w:r>
        <w:rPr>
          <w:sz w:val="32"/>
          <w:szCs w:val="32"/>
        </w:rPr>
        <w:tab/>
      </w:r>
      <w:r>
        <w:rPr>
          <w:sz w:val="32"/>
          <w:szCs w:val="32"/>
        </w:rPr>
        <w:fldChar w:fldCharType="begin"/>
      </w:r>
      <w:r>
        <w:rPr>
          <w:sz w:val="32"/>
          <w:szCs w:val="32"/>
        </w:rPr>
        <w:instrText xml:space="preserve"> PAGEREF _Toc18650 </w:instrText>
      </w:r>
      <w:r>
        <w:rPr>
          <w:sz w:val="32"/>
          <w:szCs w:val="32"/>
        </w:rPr>
        <w:fldChar w:fldCharType="separate"/>
      </w:r>
      <w:r>
        <w:rPr>
          <w:sz w:val="32"/>
          <w:szCs w:val="32"/>
        </w:rPr>
        <w:t>46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_Toc28386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营造诚信守约的信用环境</w:t>
      </w:r>
      <w:r>
        <w:rPr>
          <w:sz w:val="32"/>
          <w:szCs w:val="32"/>
        </w:rPr>
        <w:tab/>
      </w:r>
      <w:r>
        <w:rPr>
          <w:sz w:val="32"/>
          <w:szCs w:val="32"/>
        </w:rPr>
        <w:fldChar w:fldCharType="begin"/>
      </w:r>
      <w:r>
        <w:rPr>
          <w:sz w:val="32"/>
          <w:szCs w:val="32"/>
        </w:rPr>
        <w:instrText xml:space="preserve"> PAGEREF _Toc28386 </w:instrText>
      </w:r>
      <w:r>
        <w:rPr>
          <w:sz w:val="32"/>
          <w:szCs w:val="32"/>
        </w:rPr>
        <w:fldChar w:fldCharType="separate"/>
      </w:r>
      <w:r>
        <w:rPr>
          <w:sz w:val="32"/>
          <w:szCs w:val="32"/>
        </w:rPr>
        <w:t>47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_Toc16430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第十五章  深化资源要素市场化配置改革</w:t>
      </w:r>
      <w:r>
        <w:rPr>
          <w:sz w:val="32"/>
          <w:szCs w:val="32"/>
        </w:rPr>
        <w:tab/>
      </w:r>
      <w:r>
        <w:rPr>
          <w:sz w:val="32"/>
          <w:szCs w:val="32"/>
        </w:rPr>
        <w:fldChar w:fldCharType="begin"/>
      </w:r>
      <w:r>
        <w:rPr>
          <w:sz w:val="32"/>
          <w:szCs w:val="32"/>
        </w:rPr>
        <w:instrText xml:space="preserve"> PAGEREF _Toc16430 </w:instrText>
      </w:r>
      <w:r>
        <w:rPr>
          <w:sz w:val="32"/>
          <w:szCs w:val="32"/>
        </w:rPr>
        <w:fldChar w:fldCharType="separate"/>
      </w:r>
      <w:r>
        <w:rPr>
          <w:sz w:val="32"/>
          <w:szCs w:val="32"/>
        </w:rPr>
        <w:t>47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_Toc17357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建立健全统一开放的要素市场</w:t>
      </w:r>
      <w:r>
        <w:rPr>
          <w:sz w:val="32"/>
          <w:szCs w:val="32"/>
        </w:rPr>
        <w:tab/>
      </w:r>
      <w:r>
        <w:rPr>
          <w:sz w:val="32"/>
          <w:szCs w:val="32"/>
        </w:rPr>
        <w:fldChar w:fldCharType="begin"/>
      </w:r>
      <w:r>
        <w:rPr>
          <w:sz w:val="32"/>
          <w:szCs w:val="32"/>
        </w:rPr>
        <w:instrText xml:space="preserve"> PAGEREF _Toc17357 </w:instrText>
      </w:r>
      <w:r>
        <w:rPr>
          <w:sz w:val="32"/>
          <w:szCs w:val="32"/>
        </w:rPr>
        <w:fldChar w:fldCharType="separate"/>
      </w:r>
      <w:r>
        <w:rPr>
          <w:sz w:val="32"/>
          <w:szCs w:val="32"/>
        </w:rPr>
        <w:t>47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_Toc19802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加快要素价格市场化改革</w:t>
      </w:r>
      <w:r>
        <w:rPr>
          <w:sz w:val="32"/>
          <w:szCs w:val="32"/>
        </w:rPr>
        <w:tab/>
      </w:r>
      <w:r>
        <w:rPr>
          <w:sz w:val="32"/>
          <w:szCs w:val="32"/>
        </w:rPr>
        <w:fldChar w:fldCharType="begin"/>
      </w:r>
      <w:r>
        <w:rPr>
          <w:sz w:val="32"/>
          <w:szCs w:val="32"/>
        </w:rPr>
        <w:instrText xml:space="preserve"> PAGEREF _Toc19802 </w:instrText>
      </w:r>
      <w:r>
        <w:rPr>
          <w:sz w:val="32"/>
          <w:szCs w:val="32"/>
        </w:rPr>
        <w:fldChar w:fldCharType="separate"/>
      </w:r>
      <w:r>
        <w:rPr>
          <w:sz w:val="32"/>
          <w:szCs w:val="32"/>
        </w:rPr>
        <w:t>48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_Toc17062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完善要素市场运行机制</w:t>
      </w:r>
      <w:r>
        <w:rPr>
          <w:sz w:val="32"/>
          <w:szCs w:val="32"/>
        </w:rPr>
        <w:tab/>
      </w:r>
      <w:r>
        <w:rPr>
          <w:sz w:val="32"/>
          <w:szCs w:val="32"/>
        </w:rPr>
        <w:fldChar w:fldCharType="begin"/>
      </w:r>
      <w:r>
        <w:rPr>
          <w:sz w:val="32"/>
          <w:szCs w:val="32"/>
        </w:rPr>
        <w:instrText xml:space="preserve"> PAGEREF _Toc17062 </w:instrText>
      </w:r>
      <w:r>
        <w:rPr>
          <w:sz w:val="32"/>
          <w:szCs w:val="32"/>
        </w:rPr>
        <w:fldChar w:fldCharType="separate"/>
      </w:r>
      <w:r>
        <w:rPr>
          <w:sz w:val="32"/>
          <w:szCs w:val="32"/>
        </w:rPr>
        <w:t>48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_Toc32605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第十六章  充分激发市场主体活力</w:t>
      </w:r>
      <w:r>
        <w:rPr>
          <w:sz w:val="32"/>
          <w:szCs w:val="32"/>
        </w:rPr>
        <w:tab/>
      </w:r>
      <w:r>
        <w:rPr>
          <w:sz w:val="32"/>
          <w:szCs w:val="32"/>
        </w:rPr>
        <w:fldChar w:fldCharType="begin"/>
      </w:r>
      <w:r>
        <w:rPr>
          <w:sz w:val="32"/>
          <w:szCs w:val="32"/>
        </w:rPr>
        <w:instrText xml:space="preserve"> PAGEREF _Toc32605 </w:instrText>
      </w:r>
      <w:r>
        <w:rPr>
          <w:sz w:val="32"/>
          <w:szCs w:val="32"/>
        </w:rPr>
        <w:fldChar w:fldCharType="separate"/>
      </w:r>
      <w:r>
        <w:rPr>
          <w:sz w:val="32"/>
          <w:szCs w:val="32"/>
        </w:rPr>
        <w:t>49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_Toc15383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推进国有经济改革发展</w:t>
      </w:r>
      <w:r>
        <w:rPr>
          <w:sz w:val="32"/>
          <w:szCs w:val="32"/>
        </w:rPr>
        <w:tab/>
      </w:r>
      <w:r>
        <w:rPr>
          <w:sz w:val="32"/>
          <w:szCs w:val="32"/>
        </w:rPr>
        <w:fldChar w:fldCharType="begin"/>
      </w:r>
      <w:r>
        <w:rPr>
          <w:sz w:val="32"/>
          <w:szCs w:val="32"/>
        </w:rPr>
        <w:instrText xml:space="preserve"> PAGEREF _Toc15383 </w:instrText>
      </w:r>
      <w:r>
        <w:rPr>
          <w:sz w:val="32"/>
          <w:szCs w:val="32"/>
        </w:rPr>
        <w:fldChar w:fldCharType="separate"/>
      </w:r>
      <w:r>
        <w:rPr>
          <w:sz w:val="32"/>
          <w:szCs w:val="32"/>
        </w:rPr>
        <w:t>49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_Toc4918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大力促进民营经济发展</w:t>
      </w:r>
      <w:r>
        <w:rPr>
          <w:sz w:val="32"/>
          <w:szCs w:val="32"/>
        </w:rPr>
        <w:tab/>
      </w:r>
      <w:r>
        <w:rPr>
          <w:sz w:val="32"/>
          <w:szCs w:val="32"/>
        </w:rPr>
        <w:fldChar w:fldCharType="begin"/>
      </w:r>
      <w:r>
        <w:rPr>
          <w:sz w:val="32"/>
          <w:szCs w:val="32"/>
        </w:rPr>
        <w:instrText xml:space="preserve"> PAGEREF _Toc4918 </w:instrText>
      </w:r>
      <w:r>
        <w:rPr>
          <w:sz w:val="32"/>
          <w:szCs w:val="32"/>
        </w:rPr>
        <w:fldChar w:fldCharType="separate"/>
      </w:r>
      <w:r>
        <w:rPr>
          <w:sz w:val="32"/>
          <w:szCs w:val="32"/>
        </w:rPr>
        <w:t>49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_Toc29730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构建亲清政商关系</w:t>
      </w:r>
      <w:r>
        <w:rPr>
          <w:sz w:val="32"/>
          <w:szCs w:val="32"/>
        </w:rPr>
        <w:tab/>
      </w:r>
      <w:r>
        <w:rPr>
          <w:sz w:val="32"/>
          <w:szCs w:val="32"/>
        </w:rPr>
        <w:fldChar w:fldCharType="begin"/>
      </w:r>
      <w:r>
        <w:rPr>
          <w:sz w:val="32"/>
          <w:szCs w:val="32"/>
        </w:rPr>
        <w:instrText xml:space="preserve"> PAGEREF _Toc29730 </w:instrText>
      </w:r>
      <w:r>
        <w:rPr>
          <w:sz w:val="32"/>
          <w:szCs w:val="32"/>
        </w:rPr>
        <w:fldChar w:fldCharType="separate"/>
      </w:r>
      <w:r>
        <w:rPr>
          <w:sz w:val="32"/>
          <w:szCs w:val="32"/>
        </w:rPr>
        <w:t>50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_Toc13306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第十七章  保障市场公平竞争</w:t>
      </w:r>
      <w:r>
        <w:rPr>
          <w:sz w:val="32"/>
          <w:szCs w:val="32"/>
        </w:rPr>
        <w:tab/>
      </w:r>
      <w:r>
        <w:rPr>
          <w:sz w:val="32"/>
          <w:szCs w:val="32"/>
        </w:rPr>
        <w:fldChar w:fldCharType="begin"/>
      </w:r>
      <w:r>
        <w:rPr>
          <w:sz w:val="32"/>
          <w:szCs w:val="32"/>
        </w:rPr>
        <w:instrText xml:space="preserve"> PAGEREF _Toc13306 </w:instrText>
      </w:r>
      <w:r>
        <w:rPr>
          <w:sz w:val="32"/>
          <w:szCs w:val="32"/>
        </w:rPr>
        <w:fldChar w:fldCharType="separate"/>
      </w:r>
      <w:r>
        <w:rPr>
          <w:sz w:val="32"/>
          <w:szCs w:val="32"/>
        </w:rPr>
        <w:t>50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_Toc19531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第一节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加大产权保护力度</w:t>
      </w:r>
      <w:r>
        <w:rPr>
          <w:sz w:val="32"/>
          <w:szCs w:val="32"/>
        </w:rPr>
        <w:tab/>
      </w:r>
      <w:r>
        <w:rPr>
          <w:sz w:val="32"/>
          <w:szCs w:val="32"/>
        </w:rPr>
        <w:fldChar w:fldCharType="begin"/>
      </w:r>
      <w:r>
        <w:rPr>
          <w:sz w:val="32"/>
          <w:szCs w:val="32"/>
        </w:rPr>
        <w:instrText xml:space="preserve"> PAGEREF _Toc19531 </w:instrText>
      </w:r>
      <w:r>
        <w:rPr>
          <w:sz w:val="32"/>
          <w:szCs w:val="32"/>
        </w:rPr>
        <w:fldChar w:fldCharType="separate"/>
      </w:r>
      <w:r>
        <w:rPr>
          <w:sz w:val="32"/>
          <w:szCs w:val="32"/>
        </w:rPr>
        <w:t>51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_Toc15542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第二节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持续放宽市场准入</w:t>
      </w:r>
      <w:r>
        <w:rPr>
          <w:sz w:val="32"/>
          <w:szCs w:val="32"/>
        </w:rPr>
        <w:tab/>
      </w:r>
      <w:r>
        <w:rPr>
          <w:sz w:val="32"/>
          <w:szCs w:val="32"/>
        </w:rPr>
        <w:fldChar w:fldCharType="begin"/>
      </w:r>
      <w:r>
        <w:rPr>
          <w:sz w:val="32"/>
          <w:szCs w:val="32"/>
        </w:rPr>
        <w:instrText xml:space="preserve"> PAGEREF _Toc15542 </w:instrText>
      </w:r>
      <w:r>
        <w:rPr>
          <w:sz w:val="32"/>
          <w:szCs w:val="32"/>
        </w:rPr>
        <w:fldChar w:fldCharType="separate"/>
      </w:r>
      <w:r>
        <w:rPr>
          <w:sz w:val="32"/>
          <w:szCs w:val="32"/>
        </w:rPr>
        <w:t>51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_Toc15500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第十八章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 xml:space="preserve"> 提升政府治理能力</w:t>
      </w:r>
      <w:r>
        <w:rPr>
          <w:sz w:val="32"/>
          <w:szCs w:val="32"/>
        </w:rPr>
        <w:tab/>
      </w:r>
      <w:r>
        <w:rPr>
          <w:sz w:val="32"/>
          <w:szCs w:val="32"/>
        </w:rPr>
        <w:fldChar w:fldCharType="begin"/>
      </w:r>
      <w:r>
        <w:rPr>
          <w:sz w:val="32"/>
          <w:szCs w:val="32"/>
        </w:rPr>
        <w:instrText xml:space="preserve"> PAGEREF _Toc15500 </w:instrText>
      </w:r>
      <w:r>
        <w:rPr>
          <w:sz w:val="32"/>
          <w:szCs w:val="32"/>
        </w:rPr>
        <w:fldChar w:fldCharType="separate"/>
      </w:r>
      <w:r>
        <w:rPr>
          <w:sz w:val="32"/>
          <w:szCs w:val="32"/>
        </w:rPr>
        <w:t>51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_Toc4661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加快转政府职能</w:t>
      </w:r>
      <w:r>
        <w:rPr>
          <w:sz w:val="32"/>
          <w:szCs w:val="32"/>
        </w:rPr>
        <w:tab/>
      </w:r>
      <w:r>
        <w:rPr>
          <w:sz w:val="32"/>
          <w:szCs w:val="32"/>
        </w:rPr>
        <w:fldChar w:fldCharType="begin"/>
      </w:r>
      <w:r>
        <w:rPr>
          <w:sz w:val="32"/>
          <w:szCs w:val="32"/>
        </w:rPr>
        <w:instrText xml:space="preserve"> PAGEREF _Toc4661 </w:instrText>
      </w:r>
      <w:r>
        <w:rPr>
          <w:sz w:val="32"/>
          <w:szCs w:val="32"/>
        </w:rPr>
        <w:fldChar w:fldCharType="separate"/>
      </w:r>
      <w:r>
        <w:rPr>
          <w:sz w:val="32"/>
          <w:szCs w:val="32"/>
        </w:rPr>
        <w:t>52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_Toc30828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第二节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深化财税金融改革</w:t>
      </w:r>
      <w:r>
        <w:rPr>
          <w:sz w:val="32"/>
          <w:szCs w:val="32"/>
        </w:rPr>
        <w:tab/>
      </w:r>
      <w:r>
        <w:rPr>
          <w:sz w:val="32"/>
          <w:szCs w:val="32"/>
        </w:rPr>
        <w:fldChar w:fldCharType="begin"/>
      </w:r>
      <w:r>
        <w:rPr>
          <w:sz w:val="32"/>
          <w:szCs w:val="32"/>
        </w:rPr>
        <w:instrText xml:space="preserve"> PAGEREF _Toc30828 </w:instrText>
      </w:r>
      <w:r>
        <w:rPr>
          <w:sz w:val="32"/>
          <w:szCs w:val="32"/>
        </w:rPr>
        <w:fldChar w:fldCharType="separate"/>
      </w:r>
      <w:r>
        <w:rPr>
          <w:sz w:val="32"/>
          <w:szCs w:val="32"/>
        </w:rPr>
        <w:t>52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_Toc7202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bCs w:val="0"/>
          <w:sz w:val="32"/>
          <w:szCs w:val="32"/>
        </w:rPr>
        <w:t>第五篇  建设现代化基础设施体系</w:t>
      </w:r>
      <w:r>
        <w:rPr>
          <w:sz w:val="32"/>
          <w:szCs w:val="32"/>
        </w:rPr>
        <w:tab/>
      </w:r>
      <w:r>
        <w:rPr>
          <w:sz w:val="32"/>
          <w:szCs w:val="32"/>
        </w:rPr>
        <w:fldChar w:fldCharType="begin"/>
      </w:r>
      <w:r>
        <w:rPr>
          <w:sz w:val="32"/>
          <w:szCs w:val="32"/>
        </w:rPr>
        <w:instrText xml:space="preserve"> PAGEREF _Toc7202 </w:instrText>
      </w:r>
      <w:r>
        <w:rPr>
          <w:sz w:val="32"/>
          <w:szCs w:val="32"/>
        </w:rPr>
        <w:fldChar w:fldCharType="separate"/>
      </w:r>
      <w:r>
        <w:rPr>
          <w:sz w:val="32"/>
          <w:szCs w:val="32"/>
        </w:rPr>
        <w:t>53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_Toc18979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第十九章  推进引领未来的新型基础设施建设</w:t>
      </w:r>
      <w:r>
        <w:rPr>
          <w:sz w:val="32"/>
          <w:szCs w:val="32"/>
        </w:rPr>
        <w:tab/>
      </w:r>
      <w:r>
        <w:rPr>
          <w:sz w:val="32"/>
          <w:szCs w:val="32"/>
        </w:rPr>
        <w:fldChar w:fldCharType="begin"/>
      </w:r>
      <w:r>
        <w:rPr>
          <w:sz w:val="32"/>
          <w:szCs w:val="32"/>
        </w:rPr>
        <w:instrText xml:space="preserve"> PAGEREF _Toc18979 </w:instrText>
      </w:r>
      <w:r>
        <w:rPr>
          <w:sz w:val="32"/>
          <w:szCs w:val="32"/>
        </w:rPr>
        <w:fldChar w:fldCharType="separate"/>
      </w:r>
      <w:r>
        <w:rPr>
          <w:sz w:val="32"/>
          <w:szCs w:val="32"/>
        </w:rPr>
        <w:t>53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_Toc24612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第二十章  完善现代交通运输网络</w:t>
      </w:r>
      <w:r>
        <w:rPr>
          <w:sz w:val="32"/>
          <w:szCs w:val="32"/>
        </w:rPr>
        <w:tab/>
      </w:r>
      <w:r>
        <w:rPr>
          <w:sz w:val="32"/>
          <w:szCs w:val="32"/>
        </w:rPr>
        <w:fldChar w:fldCharType="begin"/>
      </w:r>
      <w:r>
        <w:rPr>
          <w:sz w:val="32"/>
          <w:szCs w:val="32"/>
        </w:rPr>
        <w:instrText xml:space="preserve"> PAGEREF _Toc24612 </w:instrText>
      </w:r>
      <w:r>
        <w:rPr>
          <w:sz w:val="32"/>
          <w:szCs w:val="32"/>
        </w:rPr>
        <w:fldChar w:fldCharType="separate"/>
      </w:r>
      <w:r>
        <w:rPr>
          <w:sz w:val="32"/>
          <w:szCs w:val="32"/>
        </w:rPr>
        <w:t>53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_Toc15302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第二十一章  建设现代能源体系</w:t>
      </w:r>
      <w:r>
        <w:rPr>
          <w:sz w:val="32"/>
          <w:szCs w:val="32"/>
        </w:rPr>
        <w:tab/>
      </w:r>
      <w:r>
        <w:rPr>
          <w:sz w:val="32"/>
          <w:szCs w:val="32"/>
        </w:rPr>
        <w:fldChar w:fldCharType="begin"/>
      </w:r>
      <w:r>
        <w:rPr>
          <w:sz w:val="32"/>
          <w:szCs w:val="32"/>
        </w:rPr>
        <w:instrText xml:space="preserve"> PAGEREF _Toc15302 </w:instrText>
      </w:r>
      <w:r>
        <w:rPr>
          <w:sz w:val="32"/>
          <w:szCs w:val="32"/>
        </w:rPr>
        <w:fldChar w:fldCharType="separate"/>
      </w:r>
      <w:r>
        <w:rPr>
          <w:sz w:val="32"/>
          <w:szCs w:val="32"/>
        </w:rPr>
        <w:t>54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_Toc5856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第二十二章  加快推进水利现代化</w:t>
      </w:r>
      <w:r>
        <w:rPr>
          <w:sz w:val="32"/>
          <w:szCs w:val="32"/>
        </w:rPr>
        <w:tab/>
      </w:r>
      <w:r>
        <w:rPr>
          <w:sz w:val="32"/>
          <w:szCs w:val="32"/>
        </w:rPr>
        <w:fldChar w:fldCharType="begin"/>
      </w:r>
      <w:r>
        <w:rPr>
          <w:sz w:val="32"/>
          <w:szCs w:val="32"/>
        </w:rPr>
        <w:instrText xml:space="preserve"> PAGEREF _Toc5856 </w:instrText>
      </w:r>
      <w:r>
        <w:rPr>
          <w:sz w:val="32"/>
          <w:szCs w:val="32"/>
        </w:rPr>
        <w:fldChar w:fldCharType="separate"/>
      </w:r>
      <w:r>
        <w:rPr>
          <w:sz w:val="32"/>
          <w:szCs w:val="32"/>
        </w:rPr>
        <w:t>55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_Toc9921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第六篇  加快推进新型城镇化</w:t>
      </w:r>
      <w:r>
        <w:rPr>
          <w:sz w:val="32"/>
          <w:szCs w:val="32"/>
        </w:rPr>
        <w:tab/>
      </w:r>
      <w:r>
        <w:rPr>
          <w:sz w:val="32"/>
          <w:szCs w:val="32"/>
        </w:rPr>
        <w:fldChar w:fldCharType="begin"/>
      </w:r>
      <w:r>
        <w:rPr>
          <w:sz w:val="32"/>
          <w:szCs w:val="32"/>
        </w:rPr>
        <w:instrText xml:space="preserve"> PAGEREF _Toc9921 </w:instrText>
      </w:r>
      <w:r>
        <w:rPr>
          <w:sz w:val="32"/>
          <w:szCs w:val="32"/>
        </w:rPr>
        <w:fldChar w:fldCharType="separate"/>
      </w:r>
      <w:r>
        <w:rPr>
          <w:sz w:val="32"/>
          <w:szCs w:val="32"/>
        </w:rPr>
        <w:t>56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_Toc4615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第二十三章  高水平建设中心城区</w:t>
      </w:r>
      <w:r>
        <w:rPr>
          <w:sz w:val="32"/>
          <w:szCs w:val="32"/>
        </w:rPr>
        <w:tab/>
      </w:r>
      <w:r>
        <w:rPr>
          <w:sz w:val="32"/>
          <w:szCs w:val="32"/>
        </w:rPr>
        <w:fldChar w:fldCharType="begin"/>
      </w:r>
      <w:r>
        <w:rPr>
          <w:sz w:val="32"/>
          <w:szCs w:val="32"/>
        </w:rPr>
        <w:instrText xml:space="preserve"> PAGEREF _Toc4615 </w:instrText>
      </w:r>
      <w:r>
        <w:rPr>
          <w:sz w:val="32"/>
          <w:szCs w:val="32"/>
        </w:rPr>
        <w:fldChar w:fldCharType="separate"/>
      </w:r>
      <w:r>
        <w:rPr>
          <w:sz w:val="32"/>
          <w:szCs w:val="32"/>
        </w:rPr>
        <w:t>57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_Toc17447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高起点规划</w:t>
      </w:r>
      <w:r>
        <w:rPr>
          <w:sz w:val="32"/>
          <w:szCs w:val="32"/>
        </w:rPr>
        <w:tab/>
      </w:r>
      <w:r>
        <w:rPr>
          <w:sz w:val="32"/>
          <w:szCs w:val="32"/>
        </w:rPr>
        <w:fldChar w:fldCharType="begin"/>
      </w:r>
      <w:r>
        <w:rPr>
          <w:sz w:val="32"/>
          <w:szCs w:val="32"/>
        </w:rPr>
        <w:instrText xml:space="preserve"> PAGEREF _Toc17447 </w:instrText>
      </w:r>
      <w:r>
        <w:rPr>
          <w:sz w:val="32"/>
          <w:szCs w:val="32"/>
        </w:rPr>
        <w:fldChar w:fldCharType="separate"/>
      </w:r>
      <w:r>
        <w:rPr>
          <w:sz w:val="32"/>
          <w:szCs w:val="32"/>
        </w:rPr>
        <w:t>57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_Toc17372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高标准建设</w:t>
      </w:r>
      <w:r>
        <w:rPr>
          <w:sz w:val="32"/>
          <w:szCs w:val="32"/>
        </w:rPr>
        <w:tab/>
      </w:r>
      <w:r>
        <w:rPr>
          <w:sz w:val="32"/>
          <w:szCs w:val="32"/>
        </w:rPr>
        <w:fldChar w:fldCharType="begin"/>
      </w:r>
      <w:r>
        <w:rPr>
          <w:sz w:val="32"/>
          <w:szCs w:val="32"/>
        </w:rPr>
        <w:instrText xml:space="preserve"> PAGEREF _Toc17372 </w:instrText>
      </w:r>
      <w:r>
        <w:rPr>
          <w:sz w:val="32"/>
          <w:szCs w:val="32"/>
        </w:rPr>
        <w:fldChar w:fldCharType="separate"/>
      </w:r>
      <w:r>
        <w:rPr>
          <w:sz w:val="32"/>
          <w:szCs w:val="32"/>
        </w:rPr>
        <w:t>57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_Toc27823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高水平管理</w:t>
      </w:r>
      <w:r>
        <w:rPr>
          <w:sz w:val="32"/>
          <w:szCs w:val="32"/>
        </w:rPr>
        <w:tab/>
      </w:r>
      <w:r>
        <w:rPr>
          <w:sz w:val="32"/>
          <w:szCs w:val="32"/>
        </w:rPr>
        <w:fldChar w:fldCharType="begin"/>
      </w:r>
      <w:r>
        <w:rPr>
          <w:sz w:val="32"/>
          <w:szCs w:val="32"/>
        </w:rPr>
        <w:instrText xml:space="preserve"> PAGEREF _Toc27823 </w:instrText>
      </w:r>
      <w:r>
        <w:rPr>
          <w:sz w:val="32"/>
          <w:szCs w:val="32"/>
        </w:rPr>
        <w:fldChar w:fldCharType="separate"/>
      </w:r>
      <w:r>
        <w:rPr>
          <w:sz w:val="32"/>
          <w:szCs w:val="32"/>
        </w:rPr>
        <w:t>59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_Toc31696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高效益经营</w:t>
      </w:r>
      <w:r>
        <w:rPr>
          <w:sz w:val="32"/>
          <w:szCs w:val="32"/>
        </w:rPr>
        <w:tab/>
      </w:r>
      <w:r>
        <w:rPr>
          <w:sz w:val="32"/>
          <w:szCs w:val="32"/>
        </w:rPr>
        <w:fldChar w:fldCharType="begin"/>
      </w:r>
      <w:r>
        <w:rPr>
          <w:sz w:val="32"/>
          <w:szCs w:val="32"/>
        </w:rPr>
        <w:instrText xml:space="preserve"> PAGEREF _Toc31696 </w:instrText>
      </w:r>
      <w:r>
        <w:rPr>
          <w:sz w:val="32"/>
          <w:szCs w:val="32"/>
        </w:rPr>
        <w:fldChar w:fldCharType="separate"/>
      </w:r>
      <w:r>
        <w:rPr>
          <w:sz w:val="32"/>
          <w:szCs w:val="32"/>
        </w:rPr>
        <w:t>59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_Toc27980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第五节  提高农业转移人口市民化质量</w:t>
      </w:r>
      <w:r>
        <w:rPr>
          <w:sz w:val="32"/>
          <w:szCs w:val="32"/>
        </w:rPr>
        <w:tab/>
      </w:r>
      <w:r>
        <w:rPr>
          <w:sz w:val="32"/>
          <w:szCs w:val="32"/>
        </w:rPr>
        <w:fldChar w:fldCharType="begin"/>
      </w:r>
      <w:r>
        <w:rPr>
          <w:sz w:val="32"/>
          <w:szCs w:val="32"/>
        </w:rPr>
        <w:instrText xml:space="preserve"> PAGEREF _Toc27980 </w:instrText>
      </w:r>
      <w:r>
        <w:rPr>
          <w:sz w:val="32"/>
          <w:szCs w:val="32"/>
        </w:rPr>
        <w:fldChar w:fldCharType="separate"/>
      </w:r>
      <w:r>
        <w:rPr>
          <w:sz w:val="32"/>
          <w:szCs w:val="32"/>
        </w:rPr>
        <w:t>60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_Toc18733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第二十四章  加快周商一体化进程</w:t>
      </w:r>
      <w:r>
        <w:rPr>
          <w:sz w:val="32"/>
          <w:szCs w:val="32"/>
        </w:rPr>
        <w:tab/>
      </w:r>
      <w:r>
        <w:rPr>
          <w:sz w:val="32"/>
          <w:szCs w:val="32"/>
        </w:rPr>
        <w:fldChar w:fldCharType="begin"/>
      </w:r>
      <w:r>
        <w:rPr>
          <w:sz w:val="32"/>
          <w:szCs w:val="32"/>
        </w:rPr>
        <w:instrText xml:space="preserve"> PAGEREF _Toc18733 </w:instrText>
      </w:r>
      <w:r>
        <w:rPr>
          <w:sz w:val="32"/>
          <w:szCs w:val="32"/>
        </w:rPr>
        <w:fldChar w:fldCharType="separate"/>
      </w:r>
      <w:r>
        <w:rPr>
          <w:sz w:val="32"/>
          <w:szCs w:val="32"/>
        </w:rPr>
        <w:t>62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_Toc15806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第二十五章  实施城乡高质量发展空间格局</w:t>
      </w:r>
      <w:r>
        <w:rPr>
          <w:sz w:val="32"/>
          <w:szCs w:val="32"/>
        </w:rPr>
        <w:tab/>
      </w:r>
      <w:r>
        <w:rPr>
          <w:sz w:val="32"/>
          <w:szCs w:val="32"/>
        </w:rPr>
        <w:fldChar w:fldCharType="begin"/>
      </w:r>
      <w:r>
        <w:rPr>
          <w:sz w:val="32"/>
          <w:szCs w:val="32"/>
        </w:rPr>
        <w:instrText xml:space="preserve"> PAGEREF _Toc15806 </w:instrText>
      </w:r>
      <w:r>
        <w:rPr>
          <w:sz w:val="32"/>
          <w:szCs w:val="32"/>
        </w:rPr>
        <w:fldChar w:fldCharType="separate"/>
      </w:r>
      <w:r>
        <w:rPr>
          <w:sz w:val="32"/>
          <w:szCs w:val="32"/>
        </w:rPr>
        <w:t>63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_Toc15331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构建连城带乡的融合发展区</w:t>
      </w:r>
      <w:r>
        <w:rPr>
          <w:sz w:val="32"/>
          <w:szCs w:val="32"/>
        </w:rPr>
        <w:tab/>
      </w:r>
      <w:r>
        <w:rPr>
          <w:sz w:val="32"/>
          <w:szCs w:val="32"/>
        </w:rPr>
        <w:fldChar w:fldCharType="begin"/>
      </w:r>
      <w:r>
        <w:rPr>
          <w:sz w:val="32"/>
          <w:szCs w:val="32"/>
        </w:rPr>
        <w:instrText xml:space="preserve"> PAGEREF _Toc15331 </w:instrText>
      </w:r>
      <w:r>
        <w:rPr>
          <w:sz w:val="32"/>
          <w:szCs w:val="32"/>
        </w:rPr>
        <w:fldChar w:fldCharType="separate"/>
      </w:r>
      <w:r>
        <w:rPr>
          <w:sz w:val="32"/>
          <w:szCs w:val="32"/>
        </w:rPr>
        <w:t>63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_Toc4250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大力发展重点镇特色镇</w:t>
      </w:r>
      <w:r>
        <w:rPr>
          <w:sz w:val="32"/>
          <w:szCs w:val="32"/>
        </w:rPr>
        <w:tab/>
      </w:r>
      <w:r>
        <w:rPr>
          <w:sz w:val="32"/>
          <w:szCs w:val="32"/>
        </w:rPr>
        <w:fldChar w:fldCharType="begin"/>
      </w:r>
      <w:r>
        <w:rPr>
          <w:sz w:val="32"/>
          <w:szCs w:val="32"/>
        </w:rPr>
        <w:instrText xml:space="preserve"> PAGEREF _Toc4250 </w:instrText>
      </w:r>
      <w:r>
        <w:rPr>
          <w:sz w:val="32"/>
          <w:szCs w:val="32"/>
        </w:rPr>
        <w:fldChar w:fldCharType="separate"/>
      </w:r>
      <w:r>
        <w:rPr>
          <w:sz w:val="32"/>
          <w:szCs w:val="32"/>
        </w:rPr>
        <w:t>64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_Toc15605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优化国土空间开发保护格局</w:t>
      </w:r>
      <w:r>
        <w:rPr>
          <w:sz w:val="32"/>
          <w:szCs w:val="32"/>
        </w:rPr>
        <w:tab/>
      </w:r>
      <w:r>
        <w:rPr>
          <w:sz w:val="32"/>
          <w:szCs w:val="32"/>
        </w:rPr>
        <w:fldChar w:fldCharType="begin"/>
      </w:r>
      <w:r>
        <w:rPr>
          <w:sz w:val="32"/>
          <w:szCs w:val="32"/>
        </w:rPr>
        <w:instrText xml:space="preserve"> PAGEREF _Toc15605 </w:instrText>
      </w:r>
      <w:r>
        <w:rPr>
          <w:sz w:val="32"/>
          <w:szCs w:val="32"/>
        </w:rPr>
        <w:fldChar w:fldCharType="separate"/>
      </w:r>
      <w:r>
        <w:rPr>
          <w:sz w:val="32"/>
          <w:szCs w:val="32"/>
        </w:rPr>
        <w:t>66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_Toc12435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第七篇  谱写乡村振兴壮美篇章</w:t>
      </w:r>
      <w:r>
        <w:rPr>
          <w:sz w:val="32"/>
          <w:szCs w:val="32"/>
        </w:rPr>
        <w:tab/>
      </w:r>
      <w:r>
        <w:rPr>
          <w:sz w:val="32"/>
          <w:szCs w:val="32"/>
        </w:rPr>
        <w:fldChar w:fldCharType="begin"/>
      </w:r>
      <w:r>
        <w:rPr>
          <w:sz w:val="32"/>
          <w:szCs w:val="32"/>
        </w:rPr>
        <w:instrText xml:space="preserve"> PAGEREF _Toc12435 </w:instrText>
      </w:r>
      <w:r>
        <w:rPr>
          <w:sz w:val="32"/>
          <w:szCs w:val="32"/>
        </w:rPr>
        <w:fldChar w:fldCharType="separate"/>
      </w:r>
      <w:r>
        <w:rPr>
          <w:sz w:val="32"/>
          <w:szCs w:val="32"/>
        </w:rPr>
        <w:t>68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_Toc17178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第二十六章  夯实粮食稳产高产基础</w:t>
      </w:r>
      <w:r>
        <w:rPr>
          <w:sz w:val="32"/>
          <w:szCs w:val="32"/>
        </w:rPr>
        <w:tab/>
      </w:r>
      <w:r>
        <w:rPr>
          <w:sz w:val="32"/>
          <w:szCs w:val="32"/>
        </w:rPr>
        <w:fldChar w:fldCharType="begin"/>
      </w:r>
      <w:r>
        <w:rPr>
          <w:sz w:val="32"/>
          <w:szCs w:val="32"/>
        </w:rPr>
        <w:instrText xml:space="preserve"> PAGEREF _Toc17178 </w:instrText>
      </w:r>
      <w:r>
        <w:rPr>
          <w:sz w:val="32"/>
          <w:szCs w:val="32"/>
        </w:rPr>
        <w:fldChar w:fldCharType="separate"/>
      </w:r>
      <w:r>
        <w:rPr>
          <w:sz w:val="32"/>
          <w:szCs w:val="32"/>
        </w:rPr>
        <w:t>68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_Toc32015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强化耕地保护</w:t>
      </w:r>
      <w:r>
        <w:rPr>
          <w:sz w:val="32"/>
          <w:szCs w:val="32"/>
        </w:rPr>
        <w:tab/>
      </w:r>
      <w:r>
        <w:rPr>
          <w:sz w:val="32"/>
          <w:szCs w:val="32"/>
        </w:rPr>
        <w:fldChar w:fldCharType="begin"/>
      </w:r>
      <w:r>
        <w:rPr>
          <w:sz w:val="32"/>
          <w:szCs w:val="32"/>
        </w:rPr>
        <w:instrText xml:space="preserve"> PAGEREF _Toc32015 </w:instrText>
      </w:r>
      <w:r>
        <w:rPr>
          <w:sz w:val="32"/>
          <w:szCs w:val="32"/>
        </w:rPr>
        <w:fldChar w:fldCharType="separate"/>
      </w:r>
      <w:r>
        <w:rPr>
          <w:sz w:val="32"/>
          <w:szCs w:val="32"/>
        </w:rPr>
        <w:t>68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_Toc3464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大力推进高标准农田建设</w:t>
      </w:r>
      <w:r>
        <w:rPr>
          <w:sz w:val="32"/>
          <w:szCs w:val="32"/>
        </w:rPr>
        <w:tab/>
      </w:r>
      <w:r>
        <w:rPr>
          <w:sz w:val="32"/>
          <w:szCs w:val="32"/>
        </w:rPr>
        <w:fldChar w:fldCharType="begin"/>
      </w:r>
      <w:r>
        <w:rPr>
          <w:sz w:val="32"/>
          <w:szCs w:val="32"/>
        </w:rPr>
        <w:instrText xml:space="preserve"> PAGEREF _Toc3464 </w:instrText>
      </w:r>
      <w:r>
        <w:rPr>
          <w:sz w:val="32"/>
          <w:szCs w:val="32"/>
        </w:rPr>
        <w:fldChar w:fldCharType="separate"/>
      </w:r>
      <w:r>
        <w:rPr>
          <w:sz w:val="32"/>
          <w:szCs w:val="32"/>
        </w:rPr>
        <w:t>69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_Toc10307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推进粮食产业三链同构</w:t>
      </w:r>
      <w:r>
        <w:rPr>
          <w:sz w:val="32"/>
          <w:szCs w:val="32"/>
        </w:rPr>
        <w:tab/>
      </w:r>
      <w:r>
        <w:rPr>
          <w:sz w:val="32"/>
          <w:szCs w:val="32"/>
        </w:rPr>
        <w:fldChar w:fldCharType="begin"/>
      </w:r>
      <w:r>
        <w:rPr>
          <w:sz w:val="32"/>
          <w:szCs w:val="32"/>
        </w:rPr>
        <w:instrText xml:space="preserve"> PAGEREF _Toc10307 </w:instrText>
      </w:r>
      <w:r>
        <w:rPr>
          <w:sz w:val="32"/>
          <w:szCs w:val="32"/>
        </w:rPr>
        <w:fldChar w:fldCharType="separate"/>
      </w:r>
      <w:r>
        <w:rPr>
          <w:sz w:val="32"/>
          <w:szCs w:val="32"/>
        </w:rPr>
        <w:t>69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_Toc7692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第二十七章  加快建设现代农业</w:t>
      </w:r>
      <w:r>
        <w:rPr>
          <w:sz w:val="32"/>
          <w:szCs w:val="32"/>
        </w:rPr>
        <w:tab/>
      </w:r>
      <w:r>
        <w:rPr>
          <w:sz w:val="32"/>
          <w:szCs w:val="32"/>
        </w:rPr>
        <w:fldChar w:fldCharType="begin"/>
      </w:r>
      <w:r>
        <w:rPr>
          <w:sz w:val="32"/>
          <w:szCs w:val="32"/>
        </w:rPr>
        <w:instrText xml:space="preserve"> PAGEREF _Toc7692 </w:instrText>
      </w:r>
      <w:r>
        <w:rPr>
          <w:sz w:val="32"/>
          <w:szCs w:val="32"/>
        </w:rPr>
        <w:fldChar w:fldCharType="separate"/>
      </w:r>
      <w:r>
        <w:rPr>
          <w:sz w:val="32"/>
          <w:szCs w:val="32"/>
        </w:rPr>
        <w:t>70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_Toc11127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优化种养业结构</w:t>
      </w:r>
      <w:r>
        <w:rPr>
          <w:sz w:val="32"/>
          <w:szCs w:val="32"/>
        </w:rPr>
        <w:tab/>
      </w:r>
      <w:r>
        <w:rPr>
          <w:sz w:val="32"/>
          <w:szCs w:val="32"/>
        </w:rPr>
        <w:fldChar w:fldCharType="begin"/>
      </w:r>
      <w:r>
        <w:rPr>
          <w:sz w:val="32"/>
          <w:szCs w:val="32"/>
        </w:rPr>
        <w:instrText xml:space="preserve"> PAGEREF _Toc11127 </w:instrText>
      </w:r>
      <w:r>
        <w:rPr>
          <w:sz w:val="32"/>
          <w:szCs w:val="32"/>
        </w:rPr>
        <w:fldChar w:fldCharType="separate"/>
      </w:r>
      <w:r>
        <w:rPr>
          <w:sz w:val="32"/>
          <w:szCs w:val="32"/>
        </w:rPr>
        <w:t>70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_Toc13521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促进农业绿色化品牌化发展</w:t>
      </w:r>
      <w:r>
        <w:rPr>
          <w:sz w:val="32"/>
          <w:szCs w:val="32"/>
        </w:rPr>
        <w:tab/>
      </w:r>
      <w:r>
        <w:rPr>
          <w:sz w:val="32"/>
          <w:szCs w:val="32"/>
        </w:rPr>
        <w:fldChar w:fldCharType="begin"/>
      </w:r>
      <w:r>
        <w:rPr>
          <w:sz w:val="32"/>
          <w:szCs w:val="32"/>
        </w:rPr>
        <w:instrText xml:space="preserve"> PAGEREF _Toc13521 </w:instrText>
      </w:r>
      <w:r>
        <w:rPr>
          <w:sz w:val="32"/>
          <w:szCs w:val="32"/>
        </w:rPr>
        <w:fldChar w:fldCharType="separate"/>
      </w:r>
      <w:r>
        <w:rPr>
          <w:sz w:val="32"/>
          <w:szCs w:val="32"/>
        </w:rPr>
        <w:t>71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_Toc18976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强化农业科技支撑</w:t>
      </w:r>
      <w:r>
        <w:rPr>
          <w:sz w:val="32"/>
          <w:szCs w:val="32"/>
        </w:rPr>
        <w:tab/>
      </w:r>
      <w:r>
        <w:rPr>
          <w:sz w:val="32"/>
          <w:szCs w:val="32"/>
        </w:rPr>
        <w:fldChar w:fldCharType="begin"/>
      </w:r>
      <w:r>
        <w:rPr>
          <w:sz w:val="32"/>
          <w:szCs w:val="32"/>
        </w:rPr>
        <w:instrText xml:space="preserve"> PAGEREF _Toc18976 </w:instrText>
      </w:r>
      <w:r>
        <w:rPr>
          <w:sz w:val="32"/>
          <w:szCs w:val="32"/>
        </w:rPr>
        <w:fldChar w:fldCharType="separate"/>
      </w:r>
      <w:r>
        <w:rPr>
          <w:sz w:val="32"/>
          <w:szCs w:val="32"/>
        </w:rPr>
        <w:t>71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_Toc25487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大力推动乡村产业融合发展</w:t>
      </w:r>
      <w:r>
        <w:rPr>
          <w:sz w:val="32"/>
          <w:szCs w:val="32"/>
        </w:rPr>
        <w:tab/>
      </w:r>
      <w:r>
        <w:rPr>
          <w:sz w:val="32"/>
          <w:szCs w:val="32"/>
        </w:rPr>
        <w:fldChar w:fldCharType="begin"/>
      </w:r>
      <w:r>
        <w:rPr>
          <w:sz w:val="32"/>
          <w:szCs w:val="32"/>
        </w:rPr>
        <w:instrText xml:space="preserve"> PAGEREF _Toc25487 </w:instrText>
      </w:r>
      <w:r>
        <w:rPr>
          <w:sz w:val="32"/>
          <w:szCs w:val="32"/>
        </w:rPr>
        <w:fldChar w:fldCharType="separate"/>
      </w:r>
      <w:r>
        <w:rPr>
          <w:sz w:val="32"/>
          <w:szCs w:val="32"/>
        </w:rPr>
        <w:t>72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_Toc739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第二十八章  实施乡村建设行动</w:t>
      </w:r>
      <w:r>
        <w:rPr>
          <w:sz w:val="32"/>
          <w:szCs w:val="32"/>
        </w:rPr>
        <w:tab/>
      </w:r>
      <w:r>
        <w:rPr>
          <w:sz w:val="32"/>
          <w:szCs w:val="32"/>
        </w:rPr>
        <w:fldChar w:fldCharType="begin"/>
      </w:r>
      <w:r>
        <w:rPr>
          <w:sz w:val="32"/>
          <w:szCs w:val="32"/>
        </w:rPr>
        <w:instrText xml:space="preserve"> PAGEREF _Toc739 </w:instrText>
      </w:r>
      <w:r>
        <w:rPr>
          <w:sz w:val="32"/>
          <w:szCs w:val="32"/>
        </w:rPr>
        <w:fldChar w:fldCharType="separate"/>
      </w:r>
      <w:r>
        <w:rPr>
          <w:sz w:val="32"/>
          <w:szCs w:val="32"/>
        </w:rPr>
        <w:t>74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_Toc15090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深入推进农村人居环境整治</w:t>
      </w:r>
      <w:r>
        <w:rPr>
          <w:sz w:val="32"/>
          <w:szCs w:val="32"/>
        </w:rPr>
        <w:tab/>
      </w:r>
      <w:r>
        <w:rPr>
          <w:sz w:val="32"/>
          <w:szCs w:val="32"/>
        </w:rPr>
        <w:fldChar w:fldCharType="begin"/>
      </w:r>
      <w:r>
        <w:rPr>
          <w:sz w:val="32"/>
          <w:szCs w:val="32"/>
        </w:rPr>
        <w:instrText xml:space="preserve"> PAGEREF _Toc15090 </w:instrText>
      </w:r>
      <w:r>
        <w:rPr>
          <w:sz w:val="32"/>
          <w:szCs w:val="32"/>
        </w:rPr>
        <w:fldChar w:fldCharType="separate"/>
      </w:r>
      <w:r>
        <w:rPr>
          <w:sz w:val="32"/>
          <w:szCs w:val="32"/>
        </w:rPr>
        <w:t>74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_Toc1490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提升农村基础设施和公共服务设施水平</w:t>
      </w:r>
      <w:r>
        <w:rPr>
          <w:sz w:val="32"/>
          <w:szCs w:val="32"/>
        </w:rPr>
        <w:tab/>
      </w:r>
      <w:r>
        <w:rPr>
          <w:sz w:val="32"/>
          <w:szCs w:val="32"/>
        </w:rPr>
        <w:fldChar w:fldCharType="begin"/>
      </w:r>
      <w:r>
        <w:rPr>
          <w:sz w:val="32"/>
          <w:szCs w:val="32"/>
        </w:rPr>
        <w:instrText xml:space="preserve"> PAGEREF _Toc1490 </w:instrText>
      </w:r>
      <w:r>
        <w:rPr>
          <w:sz w:val="32"/>
          <w:szCs w:val="32"/>
        </w:rPr>
        <w:fldChar w:fldCharType="separate"/>
      </w:r>
      <w:r>
        <w:rPr>
          <w:sz w:val="32"/>
          <w:szCs w:val="32"/>
        </w:rPr>
        <w:t>74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_Toc27771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建设文明善治乡村</w:t>
      </w:r>
      <w:r>
        <w:rPr>
          <w:sz w:val="32"/>
          <w:szCs w:val="32"/>
        </w:rPr>
        <w:tab/>
      </w:r>
      <w:r>
        <w:rPr>
          <w:sz w:val="32"/>
          <w:szCs w:val="32"/>
        </w:rPr>
        <w:fldChar w:fldCharType="begin"/>
      </w:r>
      <w:r>
        <w:rPr>
          <w:sz w:val="32"/>
          <w:szCs w:val="32"/>
        </w:rPr>
        <w:instrText xml:space="preserve"> PAGEREF _Toc27771 </w:instrText>
      </w:r>
      <w:r>
        <w:rPr>
          <w:sz w:val="32"/>
          <w:szCs w:val="32"/>
        </w:rPr>
        <w:fldChar w:fldCharType="separate"/>
      </w:r>
      <w:r>
        <w:rPr>
          <w:sz w:val="32"/>
          <w:szCs w:val="32"/>
        </w:rPr>
        <w:t>75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_Toc16727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第二十九章  健全城乡融合发展体制机制</w:t>
      </w:r>
      <w:r>
        <w:rPr>
          <w:sz w:val="32"/>
          <w:szCs w:val="32"/>
        </w:rPr>
        <w:tab/>
      </w:r>
      <w:r>
        <w:rPr>
          <w:sz w:val="32"/>
          <w:szCs w:val="32"/>
        </w:rPr>
        <w:fldChar w:fldCharType="begin"/>
      </w:r>
      <w:r>
        <w:rPr>
          <w:sz w:val="32"/>
          <w:szCs w:val="32"/>
        </w:rPr>
        <w:instrText xml:space="preserve"> PAGEREF _Toc16727 </w:instrText>
      </w:r>
      <w:r>
        <w:rPr>
          <w:sz w:val="32"/>
          <w:szCs w:val="32"/>
        </w:rPr>
        <w:fldChar w:fldCharType="separate"/>
      </w:r>
      <w:r>
        <w:rPr>
          <w:sz w:val="32"/>
          <w:szCs w:val="32"/>
        </w:rPr>
        <w:t>76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_Toc19499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深化农村综合改革</w:t>
      </w:r>
      <w:r>
        <w:rPr>
          <w:sz w:val="32"/>
          <w:szCs w:val="32"/>
        </w:rPr>
        <w:tab/>
      </w:r>
      <w:r>
        <w:rPr>
          <w:sz w:val="32"/>
          <w:szCs w:val="32"/>
        </w:rPr>
        <w:fldChar w:fldCharType="begin"/>
      </w:r>
      <w:r>
        <w:rPr>
          <w:sz w:val="32"/>
          <w:szCs w:val="32"/>
        </w:rPr>
        <w:instrText xml:space="preserve"> PAGEREF _Toc19499 </w:instrText>
      </w:r>
      <w:r>
        <w:rPr>
          <w:sz w:val="32"/>
          <w:szCs w:val="32"/>
        </w:rPr>
        <w:fldChar w:fldCharType="separate"/>
      </w:r>
      <w:r>
        <w:rPr>
          <w:sz w:val="32"/>
          <w:szCs w:val="32"/>
        </w:rPr>
        <w:t>76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_Toc25513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促进各类要素更多向乡村流动</w:t>
      </w:r>
      <w:r>
        <w:rPr>
          <w:sz w:val="32"/>
          <w:szCs w:val="32"/>
        </w:rPr>
        <w:tab/>
      </w:r>
      <w:r>
        <w:rPr>
          <w:sz w:val="32"/>
          <w:szCs w:val="32"/>
        </w:rPr>
        <w:fldChar w:fldCharType="begin"/>
      </w:r>
      <w:r>
        <w:rPr>
          <w:sz w:val="32"/>
          <w:szCs w:val="32"/>
        </w:rPr>
        <w:instrText xml:space="preserve"> PAGEREF _Toc25513 </w:instrText>
      </w:r>
      <w:r>
        <w:rPr>
          <w:sz w:val="32"/>
          <w:szCs w:val="32"/>
        </w:rPr>
        <w:fldChar w:fldCharType="separate"/>
      </w:r>
      <w:r>
        <w:rPr>
          <w:sz w:val="32"/>
          <w:szCs w:val="32"/>
        </w:rPr>
        <w:t>77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_Toc14513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第三十章  实现巩固拓展脱贫攻坚成果同乡村振兴有效衔接</w:t>
      </w:r>
      <w:r>
        <w:rPr>
          <w:sz w:val="32"/>
          <w:szCs w:val="32"/>
        </w:rPr>
        <w:tab/>
      </w:r>
      <w:r>
        <w:rPr>
          <w:sz w:val="32"/>
          <w:szCs w:val="32"/>
        </w:rPr>
        <w:fldChar w:fldCharType="begin"/>
      </w:r>
      <w:r>
        <w:rPr>
          <w:sz w:val="32"/>
          <w:szCs w:val="32"/>
        </w:rPr>
        <w:instrText xml:space="preserve"> PAGEREF _Toc14513 </w:instrText>
      </w:r>
      <w:r>
        <w:rPr>
          <w:sz w:val="32"/>
          <w:szCs w:val="32"/>
        </w:rPr>
        <w:fldChar w:fldCharType="separate"/>
      </w:r>
      <w:r>
        <w:rPr>
          <w:sz w:val="32"/>
          <w:szCs w:val="32"/>
        </w:rPr>
        <w:t>77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_Toc23747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巩固拓展脱贫攻坚成果</w:t>
      </w:r>
      <w:r>
        <w:rPr>
          <w:sz w:val="32"/>
          <w:szCs w:val="32"/>
        </w:rPr>
        <w:tab/>
      </w:r>
      <w:r>
        <w:rPr>
          <w:sz w:val="32"/>
          <w:szCs w:val="32"/>
        </w:rPr>
        <w:fldChar w:fldCharType="begin"/>
      </w:r>
      <w:r>
        <w:rPr>
          <w:sz w:val="32"/>
          <w:szCs w:val="32"/>
        </w:rPr>
        <w:instrText xml:space="preserve"> PAGEREF _Toc23747 </w:instrText>
      </w:r>
      <w:r>
        <w:rPr>
          <w:sz w:val="32"/>
          <w:szCs w:val="32"/>
        </w:rPr>
        <w:fldChar w:fldCharType="separate"/>
      </w:r>
      <w:r>
        <w:rPr>
          <w:sz w:val="32"/>
          <w:szCs w:val="32"/>
        </w:rPr>
        <w:t>78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_Toc26109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提升脱贫地区整体发展水平</w:t>
      </w:r>
      <w:r>
        <w:rPr>
          <w:sz w:val="32"/>
          <w:szCs w:val="32"/>
        </w:rPr>
        <w:tab/>
      </w:r>
      <w:r>
        <w:rPr>
          <w:sz w:val="32"/>
          <w:szCs w:val="32"/>
        </w:rPr>
        <w:fldChar w:fldCharType="begin"/>
      </w:r>
      <w:r>
        <w:rPr>
          <w:sz w:val="32"/>
          <w:szCs w:val="32"/>
        </w:rPr>
        <w:instrText xml:space="preserve"> PAGEREF _Toc26109 </w:instrText>
      </w:r>
      <w:r>
        <w:rPr>
          <w:sz w:val="32"/>
          <w:szCs w:val="32"/>
        </w:rPr>
        <w:fldChar w:fldCharType="separate"/>
      </w:r>
      <w:r>
        <w:rPr>
          <w:sz w:val="32"/>
          <w:szCs w:val="32"/>
        </w:rPr>
        <w:t>78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_Toc3377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第八篇  全面推进生态文明建设</w:t>
      </w:r>
      <w:r>
        <w:rPr>
          <w:sz w:val="32"/>
          <w:szCs w:val="32"/>
        </w:rPr>
        <w:tab/>
      </w:r>
      <w:r>
        <w:rPr>
          <w:sz w:val="32"/>
          <w:szCs w:val="32"/>
        </w:rPr>
        <w:fldChar w:fldCharType="begin"/>
      </w:r>
      <w:r>
        <w:rPr>
          <w:sz w:val="32"/>
          <w:szCs w:val="32"/>
        </w:rPr>
        <w:instrText xml:space="preserve"> PAGEREF _Toc3377 </w:instrText>
      </w:r>
      <w:r>
        <w:rPr>
          <w:sz w:val="32"/>
          <w:szCs w:val="32"/>
        </w:rPr>
        <w:fldChar w:fldCharType="separate"/>
      </w:r>
      <w:r>
        <w:rPr>
          <w:sz w:val="32"/>
          <w:szCs w:val="32"/>
        </w:rPr>
        <w:t>81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_Toc9564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第三十一章  加快囯土生态化综合整治</w:t>
      </w:r>
      <w:r>
        <w:rPr>
          <w:sz w:val="32"/>
          <w:szCs w:val="32"/>
        </w:rPr>
        <w:tab/>
      </w:r>
      <w:r>
        <w:rPr>
          <w:sz w:val="32"/>
          <w:szCs w:val="32"/>
        </w:rPr>
        <w:fldChar w:fldCharType="begin"/>
      </w:r>
      <w:r>
        <w:rPr>
          <w:sz w:val="32"/>
          <w:szCs w:val="32"/>
        </w:rPr>
        <w:instrText xml:space="preserve"> PAGEREF _Toc9564 </w:instrText>
      </w:r>
      <w:r>
        <w:rPr>
          <w:sz w:val="32"/>
          <w:szCs w:val="32"/>
        </w:rPr>
        <w:fldChar w:fldCharType="separate"/>
      </w:r>
      <w:r>
        <w:rPr>
          <w:sz w:val="32"/>
          <w:szCs w:val="32"/>
        </w:rPr>
        <w:t>81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_Toc28724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第三十二章  深入打好污染防治攻坚战</w:t>
      </w:r>
      <w:r>
        <w:rPr>
          <w:sz w:val="32"/>
          <w:szCs w:val="32"/>
        </w:rPr>
        <w:tab/>
      </w:r>
      <w:r>
        <w:rPr>
          <w:sz w:val="32"/>
          <w:szCs w:val="32"/>
        </w:rPr>
        <w:fldChar w:fldCharType="begin"/>
      </w:r>
      <w:r>
        <w:rPr>
          <w:sz w:val="32"/>
          <w:szCs w:val="32"/>
        </w:rPr>
        <w:instrText xml:space="preserve"> PAGEREF _Toc28724 </w:instrText>
      </w:r>
      <w:r>
        <w:rPr>
          <w:sz w:val="32"/>
          <w:szCs w:val="32"/>
        </w:rPr>
        <w:fldChar w:fldCharType="separate"/>
      </w:r>
      <w:r>
        <w:rPr>
          <w:sz w:val="32"/>
          <w:szCs w:val="32"/>
        </w:rPr>
        <w:t>82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_Toc24463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强化大气污染精准防治</w:t>
      </w:r>
      <w:r>
        <w:rPr>
          <w:sz w:val="32"/>
          <w:szCs w:val="32"/>
        </w:rPr>
        <w:tab/>
      </w:r>
      <w:r>
        <w:rPr>
          <w:sz w:val="32"/>
          <w:szCs w:val="32"/>
        </w:rPr>
        <w:fldChar w:fldCharType="begin"/>
      </w:r>
      <w:r>
        <w:rPr>
          <w:sz w:val="32"/>
          <w:szCs w:val="32"/>
        </w:rPr>
        <w:instrText xml:space="preserve"> PAGEREF _Toc24463 </w:instrText>
      </w:r>
      <w:r>
        <w:rPr>
          <w:sz w:val="32"/>
          <w:szCs w:val="32"/>
        </w:rPr>
        <w:fldChar w:fldCharType="separate"/>
      </w:r>
      <w:r>
        <w:rPr>
          <w:sz w:val="32"/>
          <w:szCs w:val="32"/>
        </w:rPr>
        <w:t>82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_Toc17415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深化水污染综合治理</w:t>
      </w:r>
      <w:r>
        <w:rPr>
          <w:sz w:val="32"/>
          <w:szCs w:val="32"/>
        </w:rPr>
        <w:tab/>
      </w:r>
      <w:r>
        <w:rPr>
          <w:sz w:val="32"/>
          <w:szCs w:val="32"/>
        </w:rPr>
        <w:fldChar w:fldCharType="begin"/>
      </w:r>
      <w:r>
        <w:rPr>
          <w:sz w:val="32"/>
          <w:szCs w:val="32"/>
        </w:rPr>
        <w:instrText xml:space="preserve"> PAGEREF _Toc17415 </w:instrText>
      </w:r>
      <w:r>
        <w:rPr>
          <w:sz w:val="32"/>
          <w:szCs w:val="32"/>
        </w:rPr>
        <w:fldChar w:fldCharType="separate"/>
      </w:r>
      <w:r>
        <w:rPr>
          <w:sz w:val="32"/>
          <w:szCs w:val="32"/>
        </w:rPr>
        <w:t>83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_Toc22647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保障土地环境安全</w:t>
      </w:r>
      <w:r>
        <w:rPr>
          <w:sz w:val="32"/>
          <w:szCs w:val="32"/>
        </w:rPr>
        <w:tab/>
      </w:r>
      <w:r>
        <w:rPr>
          <w:sz w:val="32"/>
          <w:szCs w:val="32"/>
        </w:rPr>
        <w:fldChar w:fldCharType="begin"/>
      </w:r>
      <w:r>
        <w:rPr>
          <w:sz w:val="32"/>
          <w:szCs w:val="32"/>
        </w:rPr>
        <w:instrText xml:space="preserve"> PAGEREF _Toc22647 </w:instrText>
      </w:r>
      <w:r>
        <w:rPr>
          <w:sz w:val="32"/>
          <w:szCs w:val="32"/>
        </w:rPr>
        <w:fldChar w:fldCharType="separate"/>
      </w:r>
      <w:r>
        <w:rPr>
          <w:sz w:val="32"/>
          <w:szCs w:val="32"/>
        </w:rPr>
        <w:t>83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_Toc2380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第三十三章  推动绿色低碳发展</w:t>
      </w:r>
      <w:r>
        <w:rPr>
          <w:sz w:val="32"/>
          <w:szCs w:val="32"/>
        </w:rPr>
        <w:tab/>
      </w:r>
      <w:r>
        <w:rPr>
          <w:sz w:val="32"/>
          <w:szCs w:val="32"/>
        </w:rPr>
        <w:fldChar w:fldCharType="begin"/>
      </w:r>
      <w:r>
        <w:rPr>
          <w:sz w:val="32"/>
          <w:szCs w:val="32"/>
        </w:rPr>
        <w:instrText xml:space="preserve"> PAGEREF _Toc2380 </w:instrText>
      </w:r>
      <w:r>
        <w:rPr>
          <w:sz w:val="32"/>
          <w:szCs w:val="32"/>
        </w:rPr>
        <w:fldChar w:fldCharType="separate"/>
      </w:r>
      <w:r>
        <w:rPr>
          <w:sz w:val="32"/>
          <w:szCs w:val="32"/>
        </w:rPr>
        <w:t>84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_Toc20816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提高资源综合利用效率</w:t>
      </w:r>
      <w:r>
        <w:rPr>
          <w:sz w:val="32"/>
          <w:szCs w:val="32"/>
        </w:rPr>
        <w:tab/>
      </w:r>
      <w:r>
        <w:rPr>
          <w:sz w:val="32"/>
          <w:szCs w:val="32"/>
        </w:rPr>
        <w:fldChar w:fldCharType="begin"/>
      </w:r>
      <w:r>
        <w:rPr>
          <w:sz w:val="32"/>
          <w:szCs w:val="32"/>
        </w:rPr>
        <w:instrText xml:space="preserve"> PAGEREF _Toc20816 </w:instrText>
      </w:r>
      <w:r>
        <w:rPr>
          <w:sz w:val="32"/>
          <w:szCs w:val="32"/>
        </w:rPr>
        <w:fldChar w:fldCharType="separate"/>
      </w:r>
      <w:r>
        <w:rPr>
          <w:sz w:val="32"/>
          <w:szCs w:val="32"/>
        </w:rPr>
        <w:t>84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_Toc15084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持续降低碳排放强度</w:t>
      </w:r>
      <w:r>
        <w:rPr>
          <w:sz w:val="32"/>
          <w:szCs w:val="32"/>
        </w:rPr>
        <w:tab/>
      </w:r>
      <w:r>
        <w:rPr>
          <w:sz w:val="32"/>
          <w:szCs w:val="32"/>
        </w:rPr>
        <w:fldChar w:fldCharType="begin"/>
      </w:r>
      <w:r>
        <w:rPr>
          <w:sz w:val="32"/>
          <w:szCs w:val="32"/>
        </w:rPr>
        <w:instrText xml:space="preserve"> PAGEREF _Toc15084 </w:instrText>
      </w:r>
      <w:r>
        <w:rPr>
          <w:sz w:val="32"/>
          <w:szCs w:val="32"/>
        </w:rPr>
        <w:fldChar w:fldCharType="separate"/>
      </w:r>
      <w:r>
        <w:rPr>
          <w:sz w:val="32"/>
          <w:szCs w:val="32"/>
        </w:rPr>
        <w:t>85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_Toc1424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加快形成绿色生产生活方式</w:t>
      </w:r>
      <w:r>
        <w:rPr>
          <w:sz w:val="32"/>
          <w:szCs w:val="32"/>
        </w:rPr>
        <w:tab/>
      </w:r>
      <w:r>
        <w:rPr>
          <w:sz w:val="32"/>
          <w:szCs w:val="32"/>
        </w:rPr>
        <w:fldChar w:fldCharType="begin"/>
      </w:r>
      <w:r>
        <w:rPr>
          <w:sz w:val="32"/>
          <w:szCs w:val="32"/>
        </w:rPr>
        <w:instrText xml:space="preserve"> PAGEREF _Toc1424 </w:instrText>
      </w:r>
      <w:r>
        <w:rPr>
          <w:sz w:val="32"/>
          <w:szCs w:val="32"/>
        </w:rPr>
        <w:fldChar w:fldCharType="separate"/>
      </w:r>
      <w:r>
        <w:rPr>
          <w:sz w:val="32"/>
          <w:szCs w:val="32"/>
        </w:rPr>
        <w:t>85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_Toc27120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大力发展循环经济</w:t>
      </w:r>
      <w:r>
        <w:rPr>
          <w:sz w:val="32"/>
          <w:szCs w:val="32"/>
        </w:rPr>
        <w:tab/>
      </w:r>
      <w:r>
        <w:rPr>
          <w:sz w:val="32"/>
          <w:szCs w:val="32"/>
        </w:rPr>
        <w:fldChar w:fldCharType="begin"/>
      </w:r>
      <w:r>
        <w:rPr>
          <w:sz w:val="32"/>
          <w:szCs w:val="32"/>
        </w:rPr>
        <w:instrText xml:space="preserve"> PAGEREF _Toc27120 </w:instrText>
      </w:r>
      <w:r>
        <w:rPr>
          <w:sz w:val="32"/>
          <w:szCs w:val="32"/>
        </w:rPr>
        <w:fldChar w:fldCharType="separate"/>
      </w:r>
      <w:r>
        <w:rPr>
          <w:sz w:val="32"/>
          <w:szCs w:val="32"/>
        </w:rPr>
        <w:t>86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_Toc8158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第五节  健全绿色发展政策体系</w:t>
      </w:r>
      <w:r>
        <w:rPr>
          <w:sz w:val="32"/>
          <w:szCs w:val="32"/>
        </w:rPr>
        <w:tab/>
      </w:r>
      <w:r>
        <w:rPr>
          <w:sz w:val="32"/>
          <w:szCs w:val="32"/>
        </w:rPr>
        <w:fldChar w:fldCharType="begin"/>
      </w:r>
      <w:r>
        <w:rPr>
          <w:sz w:val="32"/>
          <w:szCs w:val="32"/>
        </w:rPr>
        <w:instrText xml:space="preserve"> PAGEREF _Toc8158 </w:instrText>
      </w:r>
      <w:r>
        <w:rPr>
          <w:sz w:val="32"/>
          <w:szCs w:val="32"/>
        </w:rPr>
        <w:fldChar w:fldCharType="separate"/>
      </w:r>
      <w:r>
        <w:rPr>
          <w:sz w:val="32"/>
          <w:szCs w:val="32"/>
        </w:rPr>
        <w:t>86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_Toc1304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第九篇  打造高水平的开放高地</w:t>
      </w:r>
      <w:r>
        <w:rPr>
          <w:sz w:val="32"/>
          <w:szCs w:val="32"/>
        </w:rPr>
        <w:tab/>
      </w:r>
      <w:r>
        <w:rPr>
          <w:sz w:val="32"/>
          <w:szCs w:val="32"/>
        </w:rPr>
        <w:fldChar w:fldCharType="begin"/>
      </w:r>
      <w:r>
        <w:rPr>
          <w:sz w:val="32"/>
          <w:szCs w:val="32"/>
        </w:rPr>
        <w:instrText xml:space="preserve"> PAGEREF _Toc1304 </w:instrText>
      </w:r>
      <w:r>
        <w:rPr>
          <w:sz w:val="32"/>
          <w:szCs w:val="32"/>
        </w:rPr>
        <w:fldChar w:fldCharType="separate"/>
      </w:r>
      <w:r>
        <w:rPr>
          <w:sz w:val="32"/>
          <w:szCs w:val="32"/>
        </w:rPr>
        <w:t>87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_Toc28619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第三十四章  完善对外开放载体</w:t>
      </w:r>
      <w:r>
        <w:rPr>
          <w:sz w:val="32"/>
          <w:szCs w:val="32"/>
        </w:rPr>
        <w:tab/>
      </w:r>
      <w:r>
        <w:rPr>
          <w:sz w:val="32"/>
          <w:szCs w:val="32"/>
        </w:rPr>
        <w:fldChar w:fldCharType="begin"/>
      </w:r>
      <w:r>
        <w:rPr>
          <w:sz w:val="32"/>
          <w:szCs w:val="32"/>
        </w:rPr>
        <w:instrText xml:space="preserve"> PAGEREF _Toc28619 </w:instrText>
      </w:r>
      <w:r>
        <w:rPr>
          <w:sz w:val="32"/>
          <w:szCs w:val="32"/>
        </w:rPr>
        <w:fldChar w:fldCharType="separate"/>
      </w:r>
      <w:r>
        <w:rPr>
          <w:sz w:val="32"/>
          <w:szCs w:val="32"/>
        </w:rPr>
        <w:t>88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_Toc4672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畅通开放通道</w:t>
      </w:r>
      <w:r>
        <w:rPr>
          <w:sz w:val="32"/>
          <w:szCs w:val="32"/>
        </w:rPr>
        <w:tab/>
      </w:r>
      <w:r>
        <w:rPr>
          <w:sz w:val="32"/>
          <w:szCs w:val="32"/>
        </w:rPr>
        <w:fldChar w:fldCharType="begin"/>
      </w:r>
      <w:r>
        <w:rPr>
          <w:sz w:val="32"/>
          <w:szCs w:val="32"/>
        </w:rPr>
        <w:instrText xml:space="preserve"> PAGEREF _Toc4672 </w:instrText>
      </w:r>
      <w:r>
        <w:rPr>
          <w:sz w:val="32"/>
          <w:szCs w:val="32"/>
        </w:rPr>
        <w:fldChar w:fldCharType="separate"/>
      </w:r>
      <w:r>
        <w:rPr>
          <w:sz w:val="32"/>
          <w:szCs w:val="32"/>
        </w:rPr>
        <w:t>88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_Toc11815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加强口岸建设</w:t>
      </w:r>
      <w:r>
        <w:rPr>
          <w:sz w:val="32"/>
          <w:szCs w:val="32"/>
        </w:rPr>
        <w:tab/>
      </w:r>
      <w:r>
        <w:rPr>
          <w:sz w:val="32"/>
          <w:szCs w:val="32"/>
        </w:rPr>
        <w:fldChar w:fldCharType="begin"/>
      </w:r>
      <w:r>
        <w:rPr>
          <w:sz w:val="32"/>
          <w:szCs w:val="32"/>
        </w:rPr>
        <w:instrText xml:space="preserve"> PAGEREF _Toc11815 </w:instrText>
      </w:r>
      <w:r>
        <w:rPr>
          <w:sz w:val="32"/>
          <w:szCs w:val="32"/>
        </w:rPr>
        <w:fldChar w:fldCharType="separate"/>
      </w:r>
      <w:r>
        <w:rPr>
          <w:sz w:val="32"/>
          <w:szCs w:val="32"/>
        </w:rPr>
        <w:t>89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_Toc4048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第三十五章  提升开放型经济发展水平</w:t>
      </w:r>
      <w:r>
        <w:rPr>
          <w:sz w:val="32"/>
          <w:szCs w:val="32"/>
        </w:rPr>
        <w:tab/>
      </w:r>
      <w:r>
        <w:rPr>
          <w:sz w:val="32"/>
          <w:szCs w:val="32"/>
        </w:rPr>
        <w:fldChar w:fldCharType="begin"/>
      </w:r>
      <w:r>
        <w:rPr>
          <w:sz w:val="32"/>
          <w:szCs w:val="32"/>
        </w:rPr>
        <w:instrText xml:space="preserve"> PAGEREF _Toc4048 </w:instrText>
      </w:r>
      <w:r>
        <w:rPr>
          <w:sz w:val="32"/>
          <w:szCs w:val="32"/>
        </w:rPr>
        <w:fldChar w:fldCharType="separate"/>
      </w:r>
      <w:r>
        <w:rPr>
          <w:sz w:val="32"/>
          <w:szCs w:val="32"/>
        </w:rPr>
        <w:t>89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_Toc19753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加大招商引资力度</w:t>
      </w:r>
      <w:r>
        <w:rPr>
          <w:sz w:val="32"/>
          <w:szCs w:val="32"/>
        </w:rPr>
        <w:tab/>
      </w:r>
      <w:r>
        <w:rPr>
          <w:sz w:val="32"/>
          <w:szCs w:val="32"/>
        </w:rPr>
        <w:fldChar w:fldCharType="begin"/>
      </w:r>
      <w:r>
        <w:rPr>
          <w:sz w:val="32"/>
          <w:szCs w:val="32"/>
        </w:rPr>
        <w:instrText xml:space="preserve"> PAGEREF _Toc19753 </w:instrText>
      </w:r>
      <w:r>
        <w:rPr>
          <w:sz w:val="32"/>
          <w:szCs w:val="32"/>
        </w:rPr>
        <w:fldChar w:fldCharType="separate"/>
      </w:r>
      <w:r>
        <w:rPr>
          <w:sz w:val="32"/>
          <w:szCs w:val="32"/>
        </w:rPr>
        <w:t>89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_Toc9932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大力发展对外贸易</w:t>
      </w:r>
      <w:r>
        <w:rPr>
          <w:sz w:val="32"/>
          <w:szCs w:val="32"/>
        </w:rPr>
        <w:tab/>
      </w:r>
      <w:r>
        <w:rPr>
          <w:sz w:val="32"/>
          <w:szCs w:val="32"/>
        </w:rPr>
        <w:fldChar w:fldCharType="begin"/>
      </w:r>
      <w:r>
        <w:rPr>
          <w:sz w:val="32"/>
          <w:szCs w:val="32"/>
        </w:rPr>
        <w:instrText xml:space="preserve"> PAGEREF _Toc9932 </w:instrText>
      </w:r>
      <w:r>
        <w:rPr>
          <w:sz w:val="32"/>
          <w:szCs w:val="32"/>
        </w:rPr>
        <w:fldChar w:fldCharType="separate"/>
      </w:r>
      <w:r>
        <w:rPr>
          <w:sz w:val="32"/>
          <w:szCs w:val="32"/>
        </w:rPr>
        <w:t>90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_Toc31438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持续优化外商投资环境</w:t>
      </w:r>
      <w:r>
        <w:rPr>
          <w:sz w:val="32"/>
          <w:szCs w:val="32"/>
        </w:rPr>
        <w:tab/>
      </w:r>
      <w:r>
        <w:rPr>
          <w:sz w:val="32"/>
          <w:szCs w:val="32"/>
        </w:rPr>
        <w:fldChar w:fldCharType="begin"/>
      </w:r>
      <w:r>
        <w:rPr>
          <w:sz w:val="32"/>
          <w:szCs w:val="32"/>
        </w:rPr>
        <w:instrText xml:space="preserve"> PAGEREF _Toc31438 </w:instrText>
      </w:r>
      <w:r>
        <w:rPr>
          <w:sz w:val="32"/>
          <w:szCs w:val="32"/>
        </w:rPr>
        <w:fldChar w:fldCharType="separate"/>
      </w:r>
      <w:r>
        <w:rPr>
          <w:sz w:val="32"/>
          <w:szCs w:val="32"/>
        </w:rPr>
        <w:t>91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_Toc23099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第三十六章  强化区域合作</w:t>
      </w:r>
      <w:r>
        <w:rPr>
          <w:sz w:val="32"/>
          <w:szCs w:val="32"/>
        </w:rPr>
        <w:tab/>
      </w:r>
      <w:r>
        <w:rPr>
          <w:sz w:val="32"/>
          <w:szCs w:val="32"/>
        </w:rPr>
        <w:fldChar w:fldCharType="begin"/>
      </w:r>
      <w:r>
        <w:rPr>
          <w:sz w:val="32"/>
          <w:szCs w:val="32"/>
        </w:rPr>
        <w:instrText xml:space="preserve"> PAGEREF _Toc23099 </w:instrText>
      </w:r>
      <w:r>
        <w:rPr>
          <w:sz w:val="32"/>
          <w:szCs w:val="32"/>
        </w:rPr>
        <w:fldChar w:fldCharType="separate"/>
      </w:r>
      <w:r>
        <w:rPr>
          <w:sz w:val="32"/>
          <w:szCs w:val="32"/>
        </w:rPr>
        <w:t>91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_Toc28426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加强省内协同联动发展</w:t>
      </w:r>
      <w:r>
        <w:rPr>
          <w:sz w:val="32"/>
          <w:szCs w:val="32"/>
        </w:rPr>
        <w:tab/>
      </w:r>
      <w:r>
        <w:rPr>
          <w:sz w:val="32"/>
          <w:szCs w:val="32"/>
        </w:rPr>
        <w:fldChar w:fldCharType="begin"/>
      </w:r>
      <w:r>
        <w:rPr>
          <w:sz w:val="32"/>
          <w:szCs w:val="32"/>
        </w:rPr>
        <w:instrText xml:space="preserve"> PAGEREF _Toc28426 </w:instrText>
      </w:r>
      <w:r>
        <w:rPr>
          <w:sz w:val="32"/>
          <w:szCs w:val="32"/>
        </w:rPr>
        <w:fldChar w:fldCharType="separate"/>
      </w:r>
      <w:r>
        <w:rPr>
          <w:sz w:val="32"/>
          <w:szCs w:val="32"/>
        </w:rPr>
        <w:t>91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_Toc1796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深化与发达地区交流互动</w:t>
      </w:r>
      <w:r>
        <w:rPr>
          <w:sz w:val="32"/>
          <w:szCs w:val="32"/>
        </w:rPr>
        <w:tab/>
      </w:r>
      <w:r>
        <w:rPr>
          <w:sz w:val="32"/>
          <w:szCs w:val="32"/>
        </w:rPr>
        <w:fldChar w:fldCharType="begin"/>
      </w:r>
      <w:r>
        <w:rPr>
          <w:sz w:val="32"/>
          <w:szCs w:val="32"/>
        </w:rPr>
        <w:instrText xml:space="preserve"> PAGEREF _Toc1796 </w:instrText>
      </w:r>
      <w:r>
        <w:rPr>
          <w:sz w:val="32"/>
          <w:szCs w:val="32"/>
        </w:rPr>
        <w:fldChar w:fldCharType="separate"/>
      </w:r>
      <w:r>
        <w:rPr>
          <w:sz w:val="32"/>
          <w:szCs w:val="32"/>
        </w:rPr>
        <w:t>92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_Toc11472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第十篇   推动文化繁荣兴盛</w:t>
      </w:r>
      <w:r>
        <w:rPr>
          <w:sz w:val="32"/>
          <w:szCs w:val="32"/>
        </w:rPr>
        <w:tab/>
      </w:r>
      <w:r>
        <w:rPr>
          <w:sz w:val="32"/>
          <w:szCs w:val="32"/>
        </w:rPr>
        <w:fldChar w:fldCharType="begin"/>
      </w:r>
      <w:r>
        <w:rPr>
          <w:sz w:val="32"/>
          <w:szCs w:val="32"/>
        </w:rPr>
        <w:instrText xml:space="preserve"> PAGEREF _Toc11472 </w:instrText>
      </w:r>
      <w:r>
        <w:rPr>
          <w:sz w:val="32"/>
          <w:szCs w:val="32"/>
        </w:rPr>
        <w:fldChar w:fldCharType="separate"/>
      </w:r>
      <w:r>
        <w:rPr>
          <w:sz w:val="32"/>
          <w:szCs w:val="32"/>
        </w:rPr>
        <w:t>93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_Toc24434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第三十七章  提高社会文明程度</w:t>
      </w:r>
      <w:r>
        <w:rPr>
          <w:sz w:val="32"/>
          <w:szCs w:val="32"/>
        </w:rPr>
        <w:tab/>
      </w:r>
      <w:r>
        <w:rPr>
          <w:sz w:val="32"/>
          <w:szCs w:val="32"/>
        </w:rPr>
        <w:fldChar w:fldCharType="begin"/>
      </w:r>
      <w:r>
        <w:rPr>
          <w:sz w:val="32"/>
          <w:szCs w:val="32"/>
        </w:rPr>
        <w:instrText xml:space="preserve"> PAGEREF _Toc24434 </w:instrText>
      </w:r>
      <w:r>
        <w:rPr>
          <w:sz w:val="32"/>
          <w:szCs w:val="32"/>
        </w:rPr>
        <w:fldChar w:fldCharType="separate"/>
      </w:r>
      <w:r>
        <w:rPr>
          <w:sz w:val="32"/>
          <w:szCs w:val="32"/>
        </w:rPr>
        <w:t>93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_Toc21489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推进理想信念教育常态化制度化</w:t>
      </w:r>
      <w:r>
        <w:rPr>
          <w:sz w:val="32"/>
          <w:szCs w:val="32"/>
        </w:rPr>
        <w:tab/>
      </w:r>
      <w:r>
        <w:rPr>
          <w:sz w:val="32"/>
          <w:szCs w:val="32"/>
        </w:rPr>
        <w:fldChar w:fldCharType="begin"/>
      </w:r>
      <w:r>
        <w:rPr>
          <w:sz w:val="32"/>
          <w:szCs w:val="32"/>
        </w:rPr>
        <w:instrText xml:space="preserve"> PAGEREF _Toc21489 </w:instrText>
      </w:r>
      <w:r>
        <w:rPr>
          <w:sz w:val="32"/>
          <w:szCs w:val="32"/>
        </w:rPr>
        <w:fldChar w:fldCharType="separate"/>
      </w:r>
      <w:r>
        <w:rPr>
          <w:sz w:val="32"/>
          <w:szCs w:val="32"/>
        </w:rPr>
        <w:t>93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_Toc10225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加强正确导向舆论引导能力建设</w:t>
      </w:r>
      <w:r>
        <w:rPr>
          <w:sz w:val="32"/>
          <w:szCs w:val="32"/>
        </w:rPr>
        <w:tab/>
      </w:r>
      <w:r>
        <w:rPr>
          <w:sz w:val="32"/>
          <w:szCs w:val="32"/>
        </w:rPr>
        <w:fldChar w:fldCharType="begin"/>
      </w:r>
      <w:r>
        <w:rPr>
          <w:sz w:val="32"/>
          <w:szCs w:val="32"/>
        </w:rPr>
        <w:instrText xml:space="preserve"> PAGEREF _Toc10225 </w:instrText>
      </w:r>
      <w:r>
        <w:rPr>
          <w:sz w:val="32"/>
          <w:szCs w:val="32"/>
        </w:rPr>
        <w:fldChar w:fldCharType="separate"/>
      </w:r>
      <w:r>
        <w:rPr>
          <w:sz w:val="32"/>
          <w:szCs w:val="32"/>
        </w:rPr>
        <w:t>94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_Toc21351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持续提升公众文明素质素养</w:t>
      </w:r>
      <w:r>
        <w:rPr>
          <w:sz w:val="32"/>
          <w:szCs w:val="32"/>
        </w:rPr>
        <w:tab/>
      </w:r>
      <w:r>
        <w:rPr>
          <w:sz w:val="32"/>
          <w:szCs w:val="32"/>
        </w:rPr>
        <w:fldChar w:fldCharType="begin"/>
      </w:r>
      <w:r>
        <w:rPr>
          <w:sz w:val="32"/>
          <w:szCs w:val="32"/>
        </w:rPr>
        <w:instrText xml:space="preserve"> PAGEREF _Toc21351 </w:instrText>
      </w:r>
      <w:r>
        <w:rPr>
          <w:sz w:val="32"/>
          <w:szCs w:val="32"/>
        </w:rPr>
        <w:fldChar w:fldCharType="separate"/>
      </w:r>
      <w:r>
        <w:rPr>
          <w:sz w:val="32"/>
          <w:szCs w:val="32"/>
        </w:rPr>
        <w:t>94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_Toc26326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第三十八章  讲好商水故事</w:t>
      </w:r>
      <w:r>
        <w:rPr>
          <w:sz w:val="32"/>
          <w:szCs w:val="32"/>
        </w:rPr>
        <w:tab/>
      </w:r>
      <w:r>
        <w:rPr>
          <w:sz w:val="32"/>
          <w:szCs w:val="32"/>
        </w:rPr>
        <w:fldChar w:fldCharType="begin"/>
      </w:r>
      <w:r>
        <w:rPr>
          <w:sz w:val="32"/>
          <w:szCs w:val="32"/>
        </w:rPr>
        <w:instrText xml:space="preserve"> PAGEREF _Toc26326 </w:instrText>
      </w:r>
      <w:r>
        <w:rPr>
          <w:sz w:val="32"/>
          <w:szCs w:val="32"/>
        </w:rPr>
        <w:fldChar w:fldCharType="separate"/>
      </w:r>
      <w:r>
        <w:rPr>
          <w:sz w:val="32"/>
          <w:szCs w:val="32"/>
        </w:rPr>
        <w:t>95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_Toc1672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加强文化遗产保护</w:t>
      </w:r>
      <w:r>
        <w:rPr>
          <w:sz w:val="32"/>
          <w:szCs w:val="32"/>
        </w:rPr>
        <w:tab/>
      </w:r>
      <w:r>
        <w:rPr>
          <w:sz w:val="32"/>
          <w:szCs w:val="32"/>
        </w:rPr>
        <w:fldChar w:fldCharType="begin"/>
      </w:r>
      <w:r>
        <w:rPr>
          <w:sz w:val="32"/>
          <w:szCs w:val="32"/>
        </w:rPr>
        <w:instrText xml:space="preserve"> PAGEREF _Toc1672 </w:instrText>
      </w:r>
      <w:r>
        <w:rPr>
          <w:sz w:val="32"/>
          <w:szCs w:val="32"/>
        </w:rPr>
        <w:fldChar w:fldCharType="separate"/>
      </w:r>
      <w:r>
        <w:rPr>
          <w:sz w:val="32"/>
          <w:szCs w:val="32"/>
        </w:rPr>
        <w:t>95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_Toc1827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弘扬商水红色文化影响</w:t>
      </w:r>
      <w:r>
        <w:rPr>
          <w:sz w:val="32"/>
          <w:szCs w:val="32"/>
        </w:rPr>
        <w:tab/>
      </w:r>
      <w:r>
        <w:rPr>
          <w:sz w:val="32"/>
          <w:szCs w:val="32"/>
        </w:rPr>
        <w:fldChar w:fldCharType="begin"/>
      </w:r>
      <w:r>
        <w:rPr>
          <w:sz w:val="32"/>
          <w:szCs w:val="32"/>
        </w:rPr>
        <w:instrText xml:space="preserve"> PAGEREF _Toc1827 </w:instrText>
      </w:r>
      <w:r>
        <w:rPr>
          <w:sz w:val="32"/>
          <w:szCs w:val="32"/>
        </w:rPr>
        <w:fldChar w:fldCharType="separate"/>
      </w:r>
      <w:r>
        <w:rPr>
          <w:sz w:val="32"/>
          <w:szCs w:val="32"/>
        </w:rPr>
        <w:t>95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_Toc23854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第三十九章  大力发展文化事业和文化产业</w:t>
      </w:r>
      <w:r>
        <w:rPr>
          <w:sz w:val="32"/>
          <w:szCs w:val="32"/>
        </w:rPr>
        <w:tab/>
      </w:r>
      <w:r>
        <w:rPr>
          <w:sz w:val="32"/>
          <w:szCs w:val="32"/>
        </w:rPr>
        <w:fldChar w:fldCharType="begin"/>
      </w:r>
      <w:r>
        <w:rPr>
          <w:sz w:val="32"/>
          <w:szCs w:val="32"/>
        </w:rPr>
        <w:instrText xml:space="preserve"> PAGEREF _Toc23854 </w:instrText>
      </w:r>
      <w:r>
        <w:rPr>
          <w:sz w:val="32"/>
          <w:szCs w:val="32"/>
        </w:rPr>
        <w:fldChar w:fldCharType="separate"/>
      </w:r>
      <w:r>
        <w:rPr>
          <w:sz w:val="32"/>
          <w:szCs w:val="32"/>
        </w:rPr>
        <w:t>96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_Toc11942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提升公共文化服务质量</w:t>
      </w:r>
      <w:r>
        <w:rPr>
          <w:sz w:val="32"/>
          <w:szCs w:val="32"/>
        </w:rPr>
        <w:tab/>
      </w:r>
      <w:r>
        <w:rPr>
          <w:sz w:val="32"/>
          <w:szCs w:val="32"/>
        </w:rPr>
        <w:fldChar w:fldCharType="begin"/>
      </w:r>
      <w:r>
        <w:rPr>
          <w:sz w:val="32"/>
          <w:szCs w:val="32"/>
        </w:rPr>
        <w:instrText xml:space="preserve"> PAGEREF _Toc11942 </w:instrText>
      </w:r>
      <w:r>
        <w:rPr>
          <w:sz w:val="32"/>
          <w:szCs w:val="32"/>
        </w:rPr>
        <w:fldChar w:fldCharType="separate"/>
      </w:r>
      <w:r>
        <w:rPr>
          <w:sz w:val="32"/>
          <w:szCs w:val="32"/>
        </w:rPr>
        <w:t>96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_Toc28132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大力发展文化产业</w:t>
      </w:r>
      <w:r>
        <w:rPr>
          <w:sz w:val="32"/>
          <w:szCs w:val="32"/>
        </w:rPr>
        <w:tab/>
      </w:r>
      <w:r>
        <w:rPr>
          <w:sz w:val="32"/>
          <w:szCs w:val="32"/>
        </w:rPr>
        <w:fldChar w:fldCharType="begin"/>
      </w:r>
      <w:r>
        <w:rPr>
          <w:sz w:val="32"/>
          <w:szCs w:val="32"/>
        </w:rPr>
        <w:instrText xml:space="preserve"> PAGEREF _Toc28132 </w:instrText>
      </w:r>
      <w:r>
        <w:rPr>
          <w:sz w:val="32"/>
          <w:szCs w:val="32"/>
        </w:rPr>
        <w:fldChar w:fldCharType="separate"/>
      </w:r>
      <w:r>
        <w:rPr>
          <w:sz w:val="32"/>
          <w:szCs w:val="32"/>
        </w:rPr>
        <w:t>97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_Toc18923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第十一篇  持续增进民生福祉</w:t>
      </w:r>
      <w:r>
        <w:rPr>
          <w:sz w:val="32"/>
          <w:szCs w:val="32"/>
        </w:rPr>
        <w:tab/>
      </w:r>
      <w:r>
        <w:rPr>
          <w:sz w:val="32"/>
          <w:szCs w:val="32"/>
        </w:rPr>
        <w:fldChar w:fldCharType="begin"/>
      </w:r>
      <w:r>
        <w:rPr>
          <w:sz w:val="32"/>
          <w:szCs w:val="32"/>
        </w:rPr>
        <w:instrText xml:space="preserve"> PAGEREF _Toc18923 </w:instrText>
      </w:r>
      <w:r>
        <w:rPr>
          <w:sz w:val="32"/>
          <w:szCs w:val="32"/>
        </w:rPr>
        <w:fldChar w:fldCharType="separate"/>
      </w:r>
      <w:r>
        <w:rPr>
          <w:sz w:val="32"/>
          <w:szCs w:val="32"/>
        </w:rPr>
        <w:t>98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_Toc2694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第四十章  加快推进教育现代化</w:t>
      </w:r>
      <w:r>
        <w:rPr>
          <w:sz w:val="32"/>
          <w:szCs w:val="32"/>
        </w:rPr>
        <w:tab/>
      </w:r>
      <w:r>
        <w:rPr>
          <w:sz w:val="32"/>
          <w:szCs w:val="32"/>
        </w:rPr>
        <w:fldChar w:fldCharType="begin"/>
      </w:r>
      <w:r>
        <w:rPr>
          <w:sz w:val="32"/>
          <w:szCs w:val="32"/>
        </w:rPr>
        <w:instrText xml:space="preserve"> PAGEREF _Toc2694 </w:instrText>
      </w:r>
      <w:r>
        <w:rPr>
          <w:sz w:val="32"/>
          <w:szCs w:val="32"/>
        </w:rPr>
        <w:fldChar w:fldCharType="separate"/>
      </w:r>
      <w:r>
        <w:rPr>
          <w:sz w:val="32"/>
          <w:szCs w:val="32"/>
        </w:rPr>
        <w:t>98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_Toc9425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加快基本公共教育均衡发展</w:t>
      </w:r>
      <w:r>
        <w:rPr>
          <w:sz w:val="32"/>
          <w:szCs w:val="32"/>
        </w:rPr>
        <w:tab/>
      </w:r>
      <w:r>
        <w:rPr>
          <w:sz w:val="32"/>
          <w:szCs w:val="32"/>
        </w:rPr>
        <w:fldChar w:fldCharType="begin"/>
      </w:r>
      <w:r>
        <w:rPr>
          <w:sz w:val="32"/>
          <w:szCs w:val="32"/>
        </w:rPr>
        <w:instrText xml:space="preserve"> PAGEREF _Toc9425 </w:instrText>
      </w:r>
      <w:r>
        <w:rPr>
          <w:sz w:val="32"/>
          <w:szCs w:val="32"/>
        </w:rPr>
        <w:fldChar w:fldCharType="separate"/>
      </w:r>
      <w:r>
        <w:rPr>
          <w:sz w:val="32"/>
          <w:szCs w:val="32"/>
        </w:rPr>
        <w:t>98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_Toc29449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激发教育改革发展活力</w:t>
      </w:r>
      <w:r>
        <w:rPr>
          <w:sz w:val="32"/>
          <w:szCs w:val="32"/>
        </w:rPr>
        <w:tab/>
      </w:r>
      <w:r>
        <w:rPr>
          <w:sz w:val="32"/>
          <w:szCs w:val="32"/>
        </w:rPr>
        <w:fldChar w:fldCharType="begin"/>
      </w:r>
      <w:r>
        <w:rPr>
          <w:sz w:val="32"/>
          <w:szCs w:val="32"/>
        </w:rPr>
        <w:instrText xml:space="preserve"> PAGEREF _Toc29449 </w:instrText>
      </w:r>
      <w:r>
        <w:rPr>
          <w:sz w:val="32"/>
          <w:szCs w:val="32"/>
        </w:rPr>
        <w:fldChar w:fldCharType="separate"/>
      </w:r>
      <w:r>
        <w:rPr>
          <w:sz w:val="32"/>
          <w:szCs w:val="32"/>
        </w:rPr>
        <w:t>99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_Toc23754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建设学习型社会</w:t>
      </w:r>
      <w:r>
        <w:rPr>
          <w:sz w:val="32"/>
          <w:szCs w:val="32"/>
        </w:rPr>
        <w:tab/>
      </w:r>
      <w:r>
        <w:rPr>
          <w:sz w:val="32"/>
          <w:szCs w:val="32"/>
        </w:rPr>
        <w:fldChar w:fldCharType="begin"/>
      </w:r>
      <w:r>
        <w:rPr>
          <w:sz w:val="32"/>
          <w:szCs w:val="32"/>
        </w:rPr>
        <w:instrText xml:space="preserve"> PAGEREF _Toc23754 </w:instrText>
      </w:r>
      <w:r>
        <w:rPr>
          <w:sz w:val="32"/>
          <w:szCs w:val="32"/>
        </w:rPr>
        <w:fldChar w:fldCharType="separate"/>
      </w:r>
      <w:r>
        <w:rPr>
          <w:sz w:val="32"/>
          <w:szCs w:val="32"/>
        </w:rPr>
        <w:t>100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_Toc24377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第四十一章  千方百计稳定和扩大就业</w:t>
      </w:r>
      <w:r>
        <w:rPr>
          <w:sz w:val="32"/>
          <w:szCs w:val="32"/>
        </w:rPr>
        <w:tab/>
      </w:r>
      <w:r>
        <w:rPr>
          <w:sz w:val="32"/>
          <w:szCs w:val="32"/>
        </w:rPr>
        <w:fldChar w:fldCharType="begin"/>
      </w:r>
      <w:r>
        <w:rPr>
          <w:sz w:val="32"/>
          <w:szCs w:val="32"/>
        </w:rPr>
        <w:instrText xml:space="preserve"> PAGEREF _Toc24377 </w:instrText>
      </w:r>
      <w:r>
        <w:rPr>
          <w:sz w:val="32"/>
          <w:szCs w:val="32"/>
        </w:rPr>
        <w:fldChar w:fldCharType="separate"/>
      </w:r>
      <w:r>
        <w:rPr>
          <w:sz w:val="32"/>
          <w:szCs w:val="32"/>
        </w:rPr>
        <w:t>101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_Toc8712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多渠道增加就业岗位</w:t>
      </w:r>
      <w:r>
        <w:rPr>
          <w:sz w:val="32"/>
          <w:szCs w:val="32"/>
        </w:rPr>
        <w:tab/>
      </w:r>
      <w:r>
        <w:rPr>
          <w:sz w:val="32"/>
          <w:szCs w:val="32"/>
        </w:rPr>
        <w:fldChar w:fldCharType="begin"/>
      </w:r>
      <w:r>
        <w:rPr>
          <w:sz w:val="32"/>
          <w:szCs w:val="32"/>
        </w:rPr>
        <w:instrText xml:space="preserve"> PAGEREF _Toc8712 </w:instrText>
      </w:r>
      <w:r>
        <w:rPr>
          <w:sz w:val="32"/>
          <w:szCs w:val="32"/>
        </w:rPr>
        <w:fldChar w:fldCharType="separate"/>
      </w:r>
      <w:r>
        <w:rPr>
          <w:sz w:val="32"/>
          <w:szCs w:val="32"/>
        </w:rPr>
        <w:t>101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_Toc8113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第二节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加大重点群体就业扶持</w:t>
      </w:r>
      <w:r>
        <w:rPr>
          <w:sz w:val="32"/>
          <w:szCs w:val="32"/>
        </w:rPr>
        <w:tab/>
      </w:r>
      <w:r>
        <w:rPr>
          <w:sz w:val="32"/>
          <w:szCs w:val="32"/>
        </w:rPr>
        <w:fldChar w:fldCharType="begin"/>
      </w:r>
      <w:r>
        <w:rPr>
          <w:sz w:val="32"/>
          <w:szCs w:val="32"/>
        </w:rPr>
        <w:instrText xml:space="preserve"> PAGEREF _Toc8113 </w:instrText>
      </w:r>
      <w:r>
        <w:rPr>
          <w:sz w:val="32"/>
          <w:szCs w:val="32"/>
        </w:rPr>
        <w:fldChar w:fldCharType="separate"/>
      </w:r>
      <w:r>
        <w:rPr>
          <w:sz w:val="32"/>
          <w:szCs w:val="32"/>
        </w:rPr>
        <w:t>101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_Toc10024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优化全方位公共就业服务</w:t>
      </w:r>
      <w:r>
        <w:rPr>
          <w:sz w:val="32"/>
          <w:szCs w:val="32"/>
        </w:rPr>
        <w:tab/>
      </w:r>
      <w:r>
        <w:rPr>
          <w:sz w:val="32"/>
          <w:szCs w:val="32"/>
        </w:rPr>
        <w:fldChar w:fldCharType="begin"/>
      </w:r>
      <w:r>
        <w:rPr>
          <w:sz w:val="32"/>
          <w:szCs w:val="32"/>
        </w:rPr>
        <w:instrText xml:space="preserve"> PAGEREF _Toc10024 </w:instrText>
      </w:r>
      <w:r>
        <w:rPr>
          <w:sz w:val="32"/>
          <w:szCs w:val="32"/>
        </w:rPr>
        <w:fldChar w:fldCharType="separate"/>
      </w:r>
      <w:r>
        <w:rPr>
          <w:sz w:val="32"/>
          <w:szCs w:val="32"/>
        </w:rPr>
        <w:t>102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_Toc22366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加强失业风险防范</w:t>
      </w:r>
      <w:r>
        <w:rPr>
          <w:sz w:val="32"/>
          <w:szCs w:val="32"/>
        </w:rPr>
        <w:tab/>
      </w:r>
      <w:r>
        <w:rPr>
          <w:sz w:val="32"/>
          <w:szCs w:val="32"/>
        </w:rPr>
        <w:fldChar w:fldCharType="begin"/>
      </w:r>
      <w:r>
        <w:rPr>
          <w:sz w:val="32"/>
          <w:szCs w:val="32"/>
        </w:rPr>
        <w:instrText xml:space="preserve"> PAGEREF _Toc22366 </w:instrText>
      </w:r>
      <w:r>
        <w:rPr>
          <w:sz w:val="32"/>
          <w:szCs w:val="32"/>
        </w:rPr>
        <w:fldChar w:fldCharType="separate"/>
      </w:r>
      <w:r>
        <w:rPr>
          <w:sz w:val="32"/>
          <w:szCs w:val="32"/>
        </w:rPr>
        <w:t>103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_Toc23320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第四十二章  着力增加城乡居民收入</w:t>
      </w:r>
      <w:r>
        <w:rPr>
          <w:sz w:val="32"/>
          <w:szCs w:val="32"/>
        </w:rPr>
        <w:tab/>
      </w:r>
      <w:r>
        <w:rPr>
          <w:sz w:val="32"/>
          <w:szCs w:val="32"/>
        </w:rPr>
        <w:fldChar w:fldCharType="begin"/>
      </w:r>
      <w:r>
        <w:rPr>
          <w:sz w:val="32"/>
          <w:szCs w:val="32"/>
        </w:rPr>
        <w:instrText xml:space="preserve"> PAGEREF _Toc23320 </w:instrText>
      </w:r>
      <w:r>
        <w:rPr>
          <w:sz w:val="32"/>
          <w:szCs w:val="32"/>
        </w:rPr>
        <w:fldChar w:fldCharType="separate"/>
      </w:r>
      <w:r>
        <w:rPr>
          <w:sz w:val="32"/>
          <w:szCs w:val="32"/>
        </w:rPr>
        <w:t>103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_Toc6729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第四十三章  提升医疗卫生体育现代化水平</w:t>
      </w:r>
      <w:r>
        <w:rPr>
          <w:sz w:val="32"/>
          <w:szCs w:val="32"/>
        </w:rPr>
        <w:tab/>
      </w:r>
      <w:r>
        <w:rPr>
          <w:sz w:val="32"/>
          <w:szCs w:val="32"/>
        </w:rPr>
        <w:fldChar w:fldCharType="begin"/>
      </w:r>
      <w:r>
        <w:rPr>
          <w:sz w:val="32"/>
          <w:szCs w:val="32"/>
        </w:rPr>
        <w:instrText xml:space="preserve"> PAGEREF _Toc6729 </w:instrText>
      </w:r>
      <w:r>
        <w:rPr>
          <w:sz w:val="32"/>
          <w:szCs w:val="32"/>
        </w:rPr>
        <w:fldChar w:fldCharType="separate"/>
      </w:r>
      <w:r>
        <w:rPr>
          <w:sz w:val="32"/>
          <w:szCs w:val="32"/>
        </w:rPr>
        <w:t>104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_Toc10057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完善公共卫生防控体系</w:t>
      </w:r>
      <w:r>
        <w:rPr>
          <w:sz w:val="32"/>
          <w:szCs w:val="32"/>
        </w:rPr>
        <w:tab/>
      </w:r>
      <w:r>
        <w:rPr>
          <w:sz w:val="32"/>
          <w:szCs w:val="32"/>
        </w:rPr>
        <w:fldChar w:fldCharType="begin"/>
      </w:r>
      <w:r>
        <w:rPr>
          <w:sz w:val="32"/>
          <w:szCs w:val="32"/>
        </w:rPr>
        <w:instrText xml:space="preserve"> PAGEREF _Toc10057 </w:instrText>
      </w:r>
      <w:r>
        <w:rPr>
          <w:sz w:val="32"/>
          <w:szCs w:val="32"/>
        </w:rPr>
        <w:fldChar w:fldCharType="separate"/>
      </w:r>
      <w:r>
        <w:rPr>
          <w:sz w:val="32"/>
          <w:szCs w:val="32"/>
        </w:rPr>
        <w:t>104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_Toc25469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加强公共卫生服务体系建设</w:t>
      </w:r>
      <w:r>
        <w:rPr>
          <w:sz w:val="32"/>
          <w:szCs w:val="32"/>
        </w:rPr>
        <w:tab/>
      </w:r>
      <w:r>
        <w:rPr>
          <w:sz w:val="32"/>
          <w:szCs w:val="32"/>
        </w:rPr>
        <w:fldChar w:fldCharType="begin"/>
      </w:r>
      <w:r>
        <w:rPr>
          <w:sz w:val="32"/>
          <w:szCs w:val="32"/>
        </w:rPr>
        <w:instrText xml:space="preserve"> PAGEREF _Toc25469 </w:instrText>
      </w:r>
      <w:r>
        <w:rPr>
          <w:sz w:val="32"/>
          <w:szCs w:val="32"/>
        </w:rPr>
        <w:fldChar w:fldCharType="separate"/>
      </w:r>
      <w:r>
        <w:rPr>
          <w:sz w:val="32"/>
          <w:szCs w:val="32"/>
        </w:rPr>
        <w:t>104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_Toc31863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开展全民卫生健康行动</w:t>
      </w:r>
      <w:r>
        <w:rPr>
          <w:sz w:val="32"/>
          <w:szCs w:val="32"/>
        </w:rPr>
        <w:tab/>
      </w:r>
      <w:r>
        <w:rPr>
          <w:sz w:val="32"/>
          <w:szCs w:val="32"/>
        </w:rPr>
        <w:fldChar w:fldCharType="begin"/>
      </w:r>
      <w:r>
        <w:rPr>
          <w:sz w:val="32"/>
          <w:szCs w:val="32"/>
        </w:rPr>
        <w:instrText xml:space="preserve"> PAGEREF _Toc31863 </w:instrText>
      </w:r>
      <w:r>
        <w:rPr>
          <w:sz w:val="32"/>
          <w:szCs w:val="32"/>
        </w:rPr>
        <w:fldChar w:fldCharType="separate"/>
      </w:r>
      <w:r>
        <w:rPr>
          <w:sz w:val="32"/>
          <w:szCs w:val="32"/>
        </w:rPr>
        <w:t>106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_Toc9021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第四十四章  健全多层次社会保障体系</w:t>
      </w:r>
      <w:r>
        <w:rPr>
          <w:sz w:val="32"/>
          <w:szCs w:val="32"/>
        </w:rPr>
        <w:tab/>
      </w:r>
      <w:r>
        <w:rPr>
          <w:sz w:val="32"/>
          <w:szCs w:val="32"/>
        </w:rPr>
        <w:fldChar w:fldCharType="begin"/>
      </w:r>
      <w:r>
        <w:rPr>
          <w:sz w:val="32"/>
          <w:szCs w:val="32"/>
        </w:rPr>
        <w:instrText xml:space="preserve"> PAGEREF _Toc9021 </w:instrText>
      </w:r>
      <w:r>
        <w:rPr>
          <w:sz w:val="32"/>
          <w:szCs w:val="32"/>
        </w:rPr>
        <w:fldChar w:fldCharType="separate"/>
      </w:r>
      <w:r>
        <w:rPr>
          <w:sz w:val="32"/>
          <w:szCs w:val="32"/>
        </w:rPr>
        <w:t>106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_Toc2686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完善社会保险制度</w:t>
      </w:r>
      <w:r>
        <w:rPr>
          <w:sz w:val="32"/>
          <w:szCs w:val="32"/>
        </w:rPr>
        <w:tab/>
      </w:r>
      <w:r>
        <w:rPr>
          <w:sz w:val="32"/>
          <w:szCs w:val="32"/>
        </w:rPr>
        <w:fldChar w:fldCharType="begin"/>
      </w:r>
      <w:r>
        <w:rPr>
          <w:sz w:val="32"/>
          <w:szCs w:val="32"/>
        </w:rPr>
        <w:instrText xml:space="preserve"> PAGEREF _Toc2686 </w:instrText>
      </w:r>
      <w:r>
        <w:rPr>
          <w:sz w:val="32"/>
          <w:szCs w:val="32"/>
        </w:rPr>
        <w:fldChar w:fldCharType="separate"/>
      </w:r>
      <w:r>
        <w:rPr>
          <w:sz w:val="32"/>
          <w:szCs w:val="32"/>
        </w:rPr>
        <w:t>107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_Toc28659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完善社会救助和社会福利制度</w:t>
      </w:r>
      <w:r>
        <w:rPr>
          <w:sz w:val="32"/>
          <w:szCs w:val="32"/>
        </w:rPr>
        <w:tab/>
      </w:r>
      <w:r>
        <w:rPr>
          <w:sz w:val="32"/>
          <w:szCs w:val="32"/>
        </w:rPr>
        <w:fldChar w:fldCharType="begin"/>
      </w:r>
      <w:r>
        <w:rPr>
          <w:sz w:val="32"/>
          <w:szCs w:val="32"/>
        </w:rPr>
        <w:instrText xml:space="preserve"> PAGEREF _Toc28659 </w:instrText>
      </w:r>
      <w:r>
        <w:rPr>
          <w:sz w:val="32"/>
          <w:szCs w:val="32"/>
        </w:rPr>
        <w:fldChar w:fldCharType="separate"/>
      </w:r>
      <w:r>
        <w:rPr>
          <w:sz w:val="32"/>
          <w:szCs w:val="32"/>
        </w:rPr>
        <w:t>107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_Toc9244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加强退役军人服务保障</w:t>
      </w:r>
      <w:r>
        <w:rPr>
          <w:sz w:val="32"/>
          <w:szCs w:val="32"/>
        </w:rPr>
        <w:tab/>
      </w:r>
      <w:r>
        <w:rPr>
          <w:sz w:val="32"/>
          <w:szCs w:val="32"/>
        </w:rPr>
        <w:fldChar w:fldCharType="begin"/>
      </w:r>
      <w:r>
        <w:rPr>
          <w:sz w:val="32"/>
          <w:szCs w:val="32"/>
        </w:rPr>
        <w:instrText xml:space="preserve"> PAGEREF _Toc9244 </w:instrText>
      </w:r>
      <w:r>
        <w:rPr>
          <w:sz w:val="32"/>
          <w:szCs w:val="32"/>
        </w:rPr>
        <w:fldChar w:fldCharType="separate"/>
      </w:r>
      <w:r>
        <w:rPr>
          <w:sz w:val="32"/>
          <w:szCs w:val="32"/>
        </w:rPr>
        <w:t>108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_Toc30581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完善住房保障体系</w:t>
      </w:r>
      <w:r>
        <w:rPr>
          <w:sz w:val="32"/>
          <w:szCs w:val="32"/>
        </w:rPr>
        <w:tab/>
      </w:r>
      <w:r>
        <w:rPr>
          <w:sz w:val="32"/>
          <w:szCs w:val="32"/>
        </w:rPr>
        <w:fldChar w:fldCharType="begin"/>
      </w:r>
      <w:r>
        <w:rPr>
          <w:sz w:val="32"/>
          <w:szCs w:val="32"/>
        </w:rPr>
        <w:instrText xml:space="preserve"> PAGEREF _Toc30581 </w:instrText>
      </w:r>
      <w:r>
        <w:rPr>
          <w:sz w:val="32"/>
          <w:szCs w:val="32"/>
        </w:rPr>
        <w:fldChar w:fldCharType="separate"/>
      </w:r>
      <w:r>
        <w:rPr>
          <w:sz w:val="32"/>
          <w:szCs w:val="32"/>
        </w:rPr>
        <w:t>108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_Toc5528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第四十五章  促进人口均衡发展</w:t>
      </w:r>
      <w:r>
        <w:rPr>
          <w:sz w:val="32"/>
          <w:szCs w:val="32"/>
        </w:rPr>
        <w:tab/>
      </w:r>
      <w:r>
        <w:rPr>
          <w:sz w:val="32"/>
          <w:szCs w:val="32"/>
        </w:rPr>
        <w:fldChar w:fldCharType="begin"/>
      </w:r>
      <w:r>
        <w:rPr>
          <w:sz w:val="32"/>
          <w:szCs w:val="32"/>
        </w:rPr>
        <w:instrText xml:space="preserve"> PAGEREF _Toc5528 </w:instrText>
      </w:r>
      <w:r>
        <w:rPr>
          <w:sz w:val="32"/>
          <w:szCs w:val="32"/>
        </w:rPr>
        <w:fldChar w:fldCharType="separate"/>
      </w:r>
      <w:r>
        <w:rPr>
          <w:sz w:val="32"/>
          <w:szCs w:val="32"/>
        </w:rPr>
        <w:t>109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_Toc31639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 xml:space="preserve">第一节 </w:t>
      </w:r>
      <w:r>
        <w:rPr>
          <w:rFonts w:hint="eastAsia" w:ascii="楷体_GB2312" w:hAnsi="楷体_GB2312" w:eastAsia="楷体_GB2312" w:cs="楷体_GB2312"/>
          <w:bCs/>
          <w:sz w:val="32"/>
          <w:szCs w:val="32"/>
          <w:lang w:val="en-US" w:eastAsia="zh-CN"/>
        </w:rPr>
        <w:t xml:space="preserve"> </w:t>
      </w:r>
      <w:r>
        <w:rPr>
          <w:rFonts w:hint="eastAsia" w:ascii="楷体_GB2312" w:hAnsi="楷体_GB2312" w:eastAsia="楷体_GB2312" w:cs="楷体_GB2312"/>
          <w:bCs/>
          <w:sz w:val="32"/>
          <w:szCs w:val="32"/>
        </w:rPr>
        <w:t>推动实现适度生育水平</w:t>
      </w:r>
      <w:r>
        <w:rPr>
          <w:sz w:val="32"/>
          <w:szCs w:val="32"/>
        </w:rPr>
        <w:tab/>
      </w:r>
      <w:r>
        <w:rPr>
          <w:sz w:val="32"/>
          <w:szCs w:val="32"/>
        </w:rPr>
        <w:fldChar w:fldCharType="begin"/>
      </w:r>
      <w:r>
        <w:rPr>
          <w:sz w:val="32"/>
          <w:szCs w:val="32"/>
        </w:rPr>
        <w:instrText xml:space="preserve"> PAGEREF _Toc31639 </w:instrText>
      </w:r>
      <w:r>
        <w:rPr>
          <w:sz w:val="32"/>
          <w:szCs w:val="32"/>
        </w:rPr>
        <w:fldChar w:fldCharType="separate"/>
      </w:r>
      <w:r>
        <w:rPr>
          <w:sz w:val="32"/>
          <w:szCs w:val="32"/>
        </w:rPr>
        <w:t>109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_Toc11668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完善养老服务体系</w:t>
      </w:r>
      <w:r>
        <w:rPr>
          <w:sz w:val="32"/>
          <w:szCs w:val="32"/>
        </w:rPr>
        <w:tab/>
      </w:r>
      <w:r>
        <w:rPr>
          <w:sz w:val="32"/>
          <w:szCs w:val="32"/>
        </w:rPr>
        <w:fldChar w:fldCharType="begin"/>
      </w:r>
      <w:r>
        <w:rPr>
          <w:sz w:val="32"/>
          <w:szCs w:val="32"/>
        </w:rPr>
        <w:instrText xml:space="preserve"> PAGEREF _Toc11668 </w:instrText>
      </w:r>
      <w:r>
        <w:rPr>
          <w:sz w:val="32"/>
          <w:szCs w:val="32"/>
        </w:rPr>
        <w:fldChar w:fldCharType="separate"/>
      </w:r>
      <w:r>
        <w:rPr>
          <w:sz w:val="32"/>
          <w:szCs w:val="32"/>
        </w:rPr>
        <w:t>109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_Toc15392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发展银发经济</w:t>
      </w:r>
      <w:r>
        <w:rPr>
          <w:sz w:val="32"/>
          <w:szCs w:val="32"/>
        </w:rPr>
        <w:tab/>
      </w:r>
      <w:r>
        <w:rPr>
          <w:sz w:val="32"/>
          <w:szCs w:val="32"/>
        </w:rPr>
        <w:fldChar w:fldCharType="begin"/>
      </w:r>
      <w:r>
        <w:rPr>
          <w:sz w:val="32"/>
          <w:szCs w:val="32"/>
        </w:rPr>
        <w:instrText xml:space="preserve"> PAGEREF _Toc15392 </w:instrText>
      </w:r>
      <w:r>
        <w:rPr>
          <w:sz w:val="32"/>
          <w:szCs w:val="32"/>
        </w:rPr>
        <w:fldChar w:fldCharType="separate"/>
      </w:r>
      <w:r>
        <w:rPr>
          <w:sz w:val="32"/>
          <w:szCs w:val="32"/>
        </w:rPr>
        <w:t>110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_Toc29090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完善青年发展政策体系</w:t>
      </w:r>
      <w:r>
        <w:rPr>
          <w:sz w:val="32"/>
          <w:szCs w:val="32"/>
        </w:rPr>
        <w:tab/>
      </w:r>
      <w:r>
        <w:rPr>
          <w:sz w:val="32"/>
          <w:szCs w:val="32"/>
        </w:rPr>
        <w:fldChar w:fldCharType="begin"/>
      </w:r>
      <w:r>
        <w:rPr>
          <w:sz w:val="32"/>
          <w:szCs w:val="32"/>
        </w:rPr>
        <w:instrText xml:space="preserve"> PAGEREF _Toc29090 </w:instrText>
      </w:r>
      <w:r>
        <w:rPr>
          <w:sz w:val="32"/>
          <w:szCs w:val="32"/>
        </w:rPr>
        <w:fldChar w:fldCharType="separate"/>
      </w:r>
      <w:r>
        <w:rPr>
          <w:sz w:val="32"/>
          <w:szCs w:val="32"/>
        </w:rPr>
        <w:t>111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_Toc413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第四十六章  加强妇女未成年人关爱服务</w:t>
      </w:r>
      <w:r>
        <w:rPr>
          <w:sz w:val="32"/>
          <w:szCs w:val="32"/>
        </w:rPr>
        <w:tab/>
      </w:r>
      <w:r>
        <w:rPr>
          <w:sz w:val="32"/>
          <w:szCs w:val="32"/>
        </w:rPr>
        <w:fldChar w:fldCharType="begin"/>
      </w:r>
      <w:r>
        <w:rPr>
          <w:sz w:val="32"/>
          <w:szCs w:val="32"/>
        </w:rPr>
        <w:instrText xml:space="preserve"> PAGEREF _Toc413 </w:instrText>
      </w:r>
      <w:r>
        <w:rPr>
          <w:sz w:val="32"/>
          <w:szCs w:val="32"/>
        </w:rPr>
        <w:fldChar w:fldCharType="separate"/>
      </w:r>
      <w:r>
        <w:rPr>
          <w:sz w:val="32"/>
          <w:szCs w:val="32"/>
        </w:rPr>
        <w:t>111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_Toc1107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保障妇女儿童合法权益</w:t>
      </w:r>
      <w:r>
        <w:rPr>
          <w:sz w:val="32"/>
          <w:szCs w:val="32"/>
        </w:rPr>
        <w:tab/>
      </w:r>
      <w:r>
        <w:rPr>
          <w:sz w:val="32"/>
          <w:szCs w:val="32"/>
        </w:rPr>
        <w:fldChar w:fldCharType="begin"/>
      </w:r>
      <w:r>
        <w:rPr>
          <w:sz w:val="32"/>
          <w:szCs w:val="32"/>
        </w:rPr>
        <w:instrText xml:space="preserve"> PAGEREF _Toc1107 </w:instrText>
      </w:r>
      <w:r>
        <w:rPr>
          <w:sz w:val="32"/>
          <w:szCs w:val="32"/>
        </w:rPr>
        <w:fldChar w:fldCharType="separate"/>
      </w:r>
      <w:r>
        <w:rPr>
          <w:sz w:val="32"/>
          <w:szCs w:val="32"/>
        </w:rPr>
        <w:t>111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_Toc22448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加强家庭家教家风建设</w:t>
      </w:r>
      <w:r>
        <w:rPr>
          <w:sz w:val="32"/>
          <w:szCs w:val="32"/>
        </w:rPr>
        <w:tab/>
      </w:r>
      <w:r>
        <w:rPr>
          <w:sz w:val="32"/>
          <w:szCs w:val="32"/>
        </w:rPr>
        <w:fldChar w:fldCharType="begin"/>
      </w:r>
      <w:r>
        <w:rPr>
          <w:sz w:val="32"/>
          <w:szCs w:val="32"/>
        </w:rPr>
        <w:instrText xml:space="preserve"> PAGEREF _Toc22448 </w:instrText>
      </w:r>
      <w:r>
        <w:rPr>
          <w:sz w:val="32"/>
          <w:szCs w:val="32"/>
        </w:rPr>
        <w:fldChar w:fldCharType="separate"/>
      </w:r>
      <w:r>
        <w:rPr>
          <w:sz w:val="32"/>
          <w:szCs w:val="32"/>
        </w:rPr>
        <w:t>112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_Toc12496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第四十七章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 xml:space="preserve"> 加强和创新社会治理</w:t>
      </w:r>
      <w:r>
        <w:rPr>
          <w:sz w:val="32"/>
          <w:szCs w:val="32"/>
        </w:rPr>
        <w:tab/>
      </w:r>
      <w:r>
        <w:rPr>
          <w:sz w:val="32"/>
          <w:szCs w:val="32"/>
        </w:rPr>
        <w:fldChar w:fldCharType="begin"/>
      </w:r>
      <w:r>
        <w:rPr>
          <w:sz w:val="32"/>
          <w:szCs w:val="32"/>
        </w:rPr>
        <w:instrText xml:space="preserve"> PAGEREF _Toc12496 </w:instrText>
      </w:r>
      <w:r>
        <w:rPr>
          <w:sz w:val="32"/>
          <w:szCs w:val="32"/>
        </w:rPr>
        <w:fldChar w:fldCharType="separate"/>
      </w:r>
      <w:r>
        <w:rPr>
          <w:sz w:val="32"/>
          <w:szCs w:val="32"/>
        </w:rPr>
        <w:t>112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_Toc15035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第一节  提升政府治理能力</w:t>
      </w:r>
      <w:r>
        <w:rPr>
          <w:sz w:val="32"/>
          <w:szCs w:val="32"/>
        </w:rPr>
        <w:tab/>
      </w:r>
      <w:r>
        <w:rPr>
          <w:sz w:val="32"/>
          <w:szCs w:val="32"/>
        </w:rPr>
        <w:fldChar w:fldCharType="begin"/>
      </w:r>
      <w:r>
        <w:rPr>
          <w:sz w:val="32"/>
          <w:szCs w:val="32"/>
        </w:rPr>
        <w:instrText xml:space="preserve"> PAGEREF _Toc15035 </w:instrText>
      </w:r>
      <w:r>
        <w:rPr>
          <w:sz w:val="32"/>
          <w:szCs w:val="32"/>
        </w:rPr>
        <w:fldChar w:fldCharType="separate"/>
      </w:r>
      <w:r>
        <w:rPr>
          <w:sz w:val="32"/>
          <w:szCs w:val="32"/>
        </w:rPr>
        <w:t>112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_Toc28744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第二节  完善城乡社区治理体系</w:t>
      </w:r>
      <w:r>
        <w:rPr>
          <w:sz w:val="32"/>
          <w:szCs w:val="32"/>
        </w:rPr>
        <w:tab/>
      </w:r>
      <w:r>
        <w:rPr>
          <w:sz w:val="32"/>
          <w:szCs w:val="32"/>
        </w:rPr>
        <w:fldChar w:fldCharType="begin"/>
      </w:r>
      <w:r>
        <w:rPr>
          <w:sz w:val="32"/>
          <w:szCs w:val="32"/>
        </w:rPr>
        <w:instrText xml:space="preserve"> PAGEREF _Toc28744 </w:instrText>
      </w:r>
      <w:r>
        <w:rPr>
          <w:sz w:val="32"/>
          <w:szCs w:val="32"/>
        </w:rPr>
        <w:fldChar w:fldCharType="separate"/>
      </w:r>
      <w:r>
        <w:rPr>
          <w:sz w:val="32"/>
          <w:szCs w:val="32"/>
        </w:rPr>
        <w:t>113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_Toc23589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第三节  增强社会自治功能</w:t>
      </w:r>
      <w:r>
        <w:rPr>
          <w:sz w:val="32"/>
          <w:szCs w:val="32"/>
        </w:rPr>
        <w:tab/>
      </w:r>
      <w:r>
        <w:rPr>
          <w:sz w:val="32"/>
          <w:szCs w:val="32"/>
        </w:rPr>
        <w:fldChar w:fldCharType="begin"/>
      </w:r>
      <w:r>
        <w:rPr>
          <w:sz w:val="32"/>
          <w:szCs w:val="32"/>
        </w:rPr>
        <w:instrText xml:space="preserve"> PAGEREF _Toc23589 </w:instrText>
      </w:r>
      <w:r>
        <w:rPr>
          <w:sz w:val="32"/>
          <w:szCs w:val="32"/>
        </w:rPr>
        <w:fldChar w:fldCharType="separate"/>
      </w:r>
      <w:r>
        <w:rPr>
          <w:sz w:val="32"/>
          <w:szCs w:val="32"/>
        </w:rPr>
        <w:t>114</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_Toc8114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第四节  健全权益保障和矛盾化解机制</w:t>
      </w:r>
      <w:r>
        <w:rPr>
          <w:sz w:val="32"/>
          <w:szCs w:val="32"/>
        </w:rPr>
        <w:tab/>
      </w:r>
      <w:r>
        <w:rPr>
          <w:sz w:val="32"/>
          <w:szCs w:val="32"/>
        </w:rPr>
        <w:fldChar w:fldCharType="begin"/>
      </w:r>
      <w:r>
        <w:rPr>
          <w:sz w:val="32"/>
          <w:szCs w:val="32"/>
        </w:rPr>
        <w:instrText xml:space="preserve"> PAGEREF _Toc8114 </w:instrText>
      </w:r>
      <w:r>
        <w:rPr>
          <w:sz w:val="32"/>
          <w:szCs w:val="32"/>
        </w:rPr>
        <w:fldChar w:fldCharType="separate"/>
      </w:r>
      <w:r>
        <w:rPr>
          <w:sz w:val="32"/>
          <w:szCs w:val="32"/>
        </w:rPr>
        <w:t>115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4"/>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_Toc31115 </w:instrText>
      </w:r>
      <w:r>
        <w:rPr>
          <w:rFonts w:asciiTheme="minorHAnsi" w:hAnsiTheme="minorHAnsi" w:eastAsiaTheme="minorEastAsia" w:cstheme="minorBidi"/>
          <w:kern w:val="2"/>
          <w:sz w:val="32"/>
          <w:szCs w:val="32"/>
          <w:lang w:val="zh-CN"/>
        </w:rPr>
        <w:fldChar w:fldCharType="separate"/>
      </w:r>
      <w:r>
        <w:rPr>
          <w:rFonts w:hint="eastAsia" w:ascii="楷体_GB2312" w:hAnsi="楷体_GB2312" w:eastAsia="楷体_GB2312" w:cs="楷体_GB2312"/>
          <w:bCs/>
          <w:sz w:val="32"/>
          <w:szCs w:val="32"/>
        </w:rPr>
        <w:t>第五节  加强社会信用体系建设</w:t>
      </w:r>
      <w:r>
        <w:rPr>
          <w:sz w:val="32"/>
          <w:szCs w:val="32"/>
        </w:rPr>
        <w:tab/>
      </w:r>
      <w:r>
        <w:rPr>
          <w:sz w:val="32"/>
          <w:szCs w:val="32"/>
        </w:rPr>
        <w:fldChar w:fldCharType="begin"/>
      </w:r>
      <w:r>
        <w:rPr>
          <w:sz w:val="32"/>
          <w:szCs w:val="32"/>
        </w:rPr>
        <w:instrText xml:space="preserve"> PAGEREF _Toc31115 </w:instrText>
      </w:r>
      <w:r>
        <w:rPr>
          <w:sz w:val="32"/>
          <w:szCs w:val="32"/>
        </w:rPr>
        <w:fldChar w:fldCharType="separate"/>
      </w:r>
      <w:r>
        <w:rPr>
          <w:sz w:val="32"/>
          <w:szCs w:val="32"/>
        </w:rPr>
        <w:t>115</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_Toc4276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第十二篇  建设更高水平的平安商水</w:t>
      </w:r>
      <w:r>
        <w:rPr>
          <w:sz w:val="32"/>
          <w:szCs w:val="32"/>
        </w:rPr>
        <w:tab/>
      </w:r>
      <w:r>
        <w:rPr>
          <w:sz w:val="32"/>
          <w:szCs w:val="32"/>
        </w:rPr>
        <w:fldChar w:fldCharType="begin"/>
      </w:r>
      <w:r>
        <w:rPr>
          <w:sz w:val="32"/>
          <w:szCs w:val="32"/>
        </w:rPr>
        <w:instrText xml:space="preserve"> PAGEREF _Toc4276 </w:instrText>
      </w:r>
      <w:r>
        <w:rPr>
          <w:sz w:val="32"/>
          <w:szCs w:val="32"/>
        </w:rPr>
        <w:fldChar w:fldCharType="separate"/>
      </w:r>
      <w:r>
        <w:rPr>
          <w:sz w:val="32"/>
          <w:szCs w:val="32"/>
        </w:rPr>
        <w:t>117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_Toc26255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第四十八章  坚决维护国家安全和政治安全</w:t>
      </w:r>
      <w:r>
        <w:rPr>
          <w:sz w:val="32"/>
          <w:szCs w:val="32"/>
        </w:rPr>
        <w:tab/>
      </w:r>
      <w:r>
        <w:rPr>
          <w:sz w:val="32"/>
          <w:szCs w:val="32"/>
        </w:rPr>
        <w:fldChar w:fldCharType="begin"/>
      </w:r>
      <w:r>
        <w:rPr>
          <w:sz w:val="32"/>
          <w:szCs w:val="32"/>
        </w:rPr>
        <w:instrText xml:space="preserve"> PAGEREF _Toc26255 </w:instrText>
      </w:r>
      <w:r>
        <w:rPr>
          <w:sz w:val="32"/>
          <w:szCs w:val="32"/>
        </w:rPr>
        <w:fldChar w:fldCharType="separate"/>
      </w:r>
      <w:r>
        <w:rPr>
          <w:sz w:val="32"/>
          <w:szCs w:val="32"/>
        </w:rPr>
        <w:t>117</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_Toc13997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第四十九章  强化经济社会领域安全保障</w:t>
      </w:r>
      <w:r>
        <w:rPr>
          <w:sz w:val="32"/>
          <w:szCs w:val="32"/>
        </w:rPr>
        <w:tab/>
      </w:r>
      <w:r>
        <w:rPr>
          <w:sz w:val="32"/>
          <w:szCs w:val="32"/>
        </w:rPr>
        <w:fldChar w:fldCharType="begin"/>
      </w:r>
      <w:r>
        <w:rPr>
          <w:sz w:val="32"/>
          <w:szCs w:val="32"/>
        </w:rPr>
        <w:instrText xml:space="preserve"> PAGEREF _Toc13997 </w:instrText>
      </w:r>
      <w:r>
        <w:rPr>
          <w:sz w:val="32"/>
          <w:szCs w:val="32"/>
        </w:rPr>
        <w:fldChar w:fldCharType="separate"/>
      </w:r>
      <w:r>
        <w:rPr>
          <w:sz w:val="32"/>
          <w:szCs w:val="32"/>
        </w:rPr>
        <w:t>118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_Toc9777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第五十章  保障人民生命安全</w:t>
      </w:r>
      <w:r>
        <w:rPr>
          <w:sz w:val="32"/>
          <w:szCs w:val="32"/>
        </w:rPr>
        <w:tab/>
      </w:r>
      <w:r>
        <w:rPr>
          <w:sz w:val="32"/>
          <w:szCs w:val="32"/>
        </w:rPr>
        <w:fldChar w:fldCharType="begin"/>
      </w:r>
      <w:r>
        <w:rPr>
          <w:sz w:val="32"/>
          <w:szCs w:val="32"/>
        </w:rPr>
        <w:instrText xml:space="preserve"> PAGEREF _Toc9777 </w:instrText>
      </w:r>
      <w:r>
        <w:rPr>
          <w:sz w:val="32"/>
          <w:szCs w:val="32"/>
        </w:rPr>
        <w:fldChar w:fldCharType="separate"/>
      </w:r>
      <w:r>
        <w:rPr>
          <w:sz w:val="32"/>
          <w:szCs w:val="32"/>
        </w:rPr>
        <w:t>118</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_Toc31035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第五十一章  加强突发公共事件应急体系建设</w:t>
      </w:r>
      <w:r>
        <w:rPr>
          <w:sz w:val="32"/>
          <w:szCs w:val="32"/>
        </w:rPr>
        <w:tab/>
      </w:r>
      <w:r>
        <w:rPr>
          <w:sz w:val="32"/>
          <w:szCs w:val="32"/>
        </w:rPr>
        <w:fldChar w:fldCharType="begin"/>
      </w:r>
      <w:r>
        <w:rPr>
          <w:sz w:val="32"/>
          <w:szCs w:val="32"/>
        </w:rPr>
        <w:instrText xml:space="preserve"> PAGEREF _Toc31035 </w:instrText>
      </w:r>
      <w:r>
        <w:rPr>
          <w:sz w:val="32"/>
          <w:szCs w:val="32"/>
        </w:rPr>
        <w:fldChar w:fldCharType="separate"/>
      </w:r>
      <w:r>
        <w:rPr>
          <w:sz w:val="32"/>
          <w:szCs w:val="32"/>
        </w:rPr>
        <w:t>119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_Toc6094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第五十二章  增强防灾救灾减灾能力</w:t>
      </w:r>
      <w:r>
        <w:rPr>
          <w:sz w:val="32"/>
          <w:szCs w:val="32"/>
        </w:rPr>
        <w:tab/>
      </w:r>
      <w:r>
        <w:rPr>
          <w:sz w:val="32"/>
          <w:szCs w:val="32"/>
        </w:rPr>
        <w:fldChar w:fldCharType="begin"/>
      </w:r>
      <w:r>
        <w:rPr>
          <w:sz w:val="32"/>
          <w:szCs w:val="32"/>
        </w:rPr>
        <w:instrText xml:space="preserve"> PAGEREF _Toc6094 </w:instrText>
      </w:r>
      <w:r>
        <w:rPr>
          <w:sz w:val="32"/>
          <w:szCs w:val="32"/>
        </w:rPr>
        <w:fldChar w:fldCharType="separate"/>
      </w:r>
      <w:r>
        <w:rPr>
          <w:sz w:val="32"/>
          <w:szCs w:val="32"/>
        </w:rPr>
        <w:t>119</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19"/>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_Toc16300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第十三篇   强化规划实施保障</w:t>
      </w:r>
      <w:r>
        <w:rPr>
          <w:sz w:val="32"/>
          <w:szCs w:val="32"/>
        </w:rPr>
        <w:tab/>
      </w:r>
      <w:r>
        <w:rPr>
          <w:sz w:val="32"/>
          <w:szCs w:val="32"/>
        </w:rPr>
        <w:fldChar w:fldCharType="begin"/>
      </w:r>
      <w:r>
        <w:rPr>
          <w:sz w:val="32"/>
          <w:szCs w:val="32"/>
        </w:rPr>
        <w:instrText xml:space="preserve"> PAGEREF _Toc16300 </w:instrText>
      </w:r>
      <w:r>
        <w:rPr>
          <w:sz w:val="32"/>
          <w:szCs w:val="32"/>
        </w:rPr>
        <w:fldChar w:fldCharType="separate"/>
      </w:r>
      <w:r>
        <w:rPr>
          <w:sz w:val="32"/>
          <w:szCs w:val="32"/>
        </w:rPr>
        <w:t>120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_Toc7485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第五十三章  坚决维护党中央权威和集中统一领导</w:t>
      </w:r>
      <w:r>
        <w:rPr>
          <w:sz w:val="32"/>
          <w:szCs w:val="32"/>
        </w:rPr>
        <w:tab/>
      </w:r>
      <w:r>
        <w:rPr>
          <w:sz w:val="32"/>
          <w:szCs w:val="32"/>
        </w:rPr>
        <w:fldChar w:fldCharType="begin"/>
      </w:r>
      <w:r>
        <w:rPr>
          <w:sz w:val="32"/>
          <w:szCs w:val="32"/>
        </w:rPr>
        <w:instrText xml:space="preserve"> PAGEREF _Toc7485 </w:instrText>
      </w:r>
      <w:r>
        <w:rPr>
          <w:sz w:val="32"/>
          <w:szCs w:val="32"/>
        </w:rPr>
        <w:fldChar w:fldCharType="separate"/>
      </w:r>
      <w:r>
        <w:rPr>
          <w:sz w:val="32"/>
          <w:szCs w:val="32"/>
        </w:rPr>
        <w:t>120</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_Toc9532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第五十四章  推进社会主义政治建设</w:t>
      </w:r>
      <w:r>
        <w:rPr>
          <w:sz w:val="32"/>
          <w:szCs w:val="32"/>
        </w:rPr>
        <w:tab/>
      </w:r>
      <w:r>
        <w:rPr>
          <w:sz w:val="32"/>
          <w:szCs w:val="32"/>
        </w:rPr>
        <w:fldChar w:fldCharType="begin"/>
      </w:r>
      <w:r>
        <w:rPr>
          <w:sz w:val="32"/>
          <w:szCs w:val="32"/>
        </w:rPr>
        <w:instrText xml:space="preserve"> PAGEREF _Toc9532 </w:instrText>
      </w:r>
      <w:r>
        <w:rPr>
          <w:sz w:val="32"/>
          <w:szCs w:val="32"/>
        </w:rPr>
        <w:fldChar w:fldCharType="separate"/>
      </w:r>
      <w:r>
        <w:rPr>
          <w:sz w:val="32"/>
          <w:szCs w:val="32"/>
        </w:rPr>
        <w:t>121</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_Toc2717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第五十五章  建设高素质专业化干部队伍</w:t>
      </w:r>
      <w:r>
        <w:rPr>
          <w:sz w:val="32"/>
          <w:szCs w:val="32"/>
        </w:rPr>
        <w:tab/>
      </w:r>
      <w:r>
        <w:rPr>
          <w:sz w:val="32"/>
          <w:szCs w:val="32"/>
        </w:rPr>
        <w:fldChar w:fldCharType="begin"/>
      </w:r>
      <w:r>
        <w:rPr>
          <w:sz w:val="32"/>
          <w:szCs w:val="32"/>
        </w:rPr>
        <w:instrText xml:space="preserve"> PAGEREF _Toc2717 </w:instrText>
      </w:r>
      <w:r>
        <w:rPr>
          <w:sz w:val="32"/>
          <w:szCs w:val="32"/>
        </w:rPr>
        <w:fldChar w:fldCharType="separate"/>
      </w:r>
      <w:r>
        <w:rPr>
          <w:sz w:val="32"/>
          <w:szCs w:val="32"/>
        </w:rPr>
        <w:t>122</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_Toc1043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第五十六章  走好新时代群众路线</w:t>
      </w:r>
      <w:r>
        <w:rPr>
          <w:sz w:val="32"/>
          <w:szCs w:val="32"/>
        </w:rPr>
        <w:tab/>
      </w:r>
      <w:r>
        <w:rPr>
          <w:sz w:val="32"/>
          <w:szCs w:val="32"/>
        </w:rPr>
        <w:fldChar w:fldCharType="begin"/>
      </w:r>
      <w:r>
        <w:rPr>
          <w:sz w:val="32"/>
          <w:szCs w:val="32"/>
        </w:rPr>
        <w:instrText xml:space="preserve"> PAGEREF _Toc1043 </w:instrText>
      </w:r>
      <w:r>
        <w:rPr>
          <w:sz w:val="32"/>
          <w:szCs w:val="32"/>
        </w:rPr>
        <w:fldChar w:fldCharType="separate"/>
      </w:r>
      <w:r>
        <w:rPr>
          <w:sz w:val="32"/>
          <w:szCs w:val="32"/>
        </w:rPr>
        <w:t>123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_Toc30163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第五十七章  强化重大项目建设要素保障</w:t>
      </w:r>
      <w:r>
        <w:rPr>
          <w:sz w:val="32"/>
          <w:szCs w:val="32"/>
        </w:rPr>
        <w:tab/>
      </w:r>
      <w:r>
        <w:rPr>
          <w:sz w:val="32"/>
          <w:szCs w:val="32"/>
        </w:rPr>
        <w:fldChar w:fldCharType="begin"/>
      </w:r>
      <w:r>
        <w:rPr>
          <w:sz w:val="32"/>
          <w:szCs w:val="32"/>
        </w:rPr>
        <w:instrText xml:space="preserve"> PAGEREF _Toc30163 </w:instrText>
      </w:r>
      <w:r>
        <w:rPr>
          <w:sz w:val="32"/>
          <w:szCs w:val="32"/>
        </w:rPr>
        <w:fldChar w:fldCharType="separate"/>
      </w:r>
      <w:r>
        <w:rPr>
          <w:sz w:val="32"/>
          <w:szCs w:val="32"/>
        </w:rPr>
        <w:t>123</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pStyle w:val="22"/>
        <w:keepNext w:val="0"/>
        <w:keepLines w:val="0"/>
        <w:pageBreakBefore w:val="0"/>
        <w:widowControl w:val="0"/>
        <w:tabs>
          <w:tab w:val="right" w:leader="dot" w:pos="8504"/>
        </w:tabs>
        <w:kinsoku/>
        <w:wordWrap/>
        <w:overflowPunct/>
        <w:topLinePunct w:val="0"/>
        <w:autoSpaceDE/>
        <w:autoSpaceDN/>
        <w:bidi w:val="0"/>
        <w:adjustRightInd/>
        <w:snapToGrid/>
        <w:spacing w:line="540" w:lineRule="exact"/>
        <w:textAlignment w:val="auto"/>
        <w:rPr>
          <w:sz w:val="32"/>
          <w:szCs w:val="32"/>
        </w:rPr>
      </w:pPr>
      <w:r>
        <w:rPr>
          <w:rFonts w:asciiTheme="minorHAnsi" w:hAnsiTheme="minorHAnsi" w:eastAsiaTheme="minorEastAsia" w:cstheme="minorBidi"/>
          <w:color w:val="auto"/>
          <w:kern w:val="2"/>
          <w:sz w:val="32"/>
          <w:szCs w:val="32"/>
          <w:lang w:val="zh-CN"/>
        </w:rPr>
        <w:fldChar w:fldCharType="begin"/>
      </w:r>
      <w:r>
        <w:rPr>
          <w:rFonts w:asciiTheme="minorHAnsi" w:hAnsiTheme="minorHAnsi" w:eastAsiaTheme="minorEastAsia" w:cstheme="minorBidi"/>
          <w:kern w:val="2"/>
          <w:sz w:val="32"/>
          <w:szCs w:val="32"/>
          <w:lang w:val="zh-CN"/>
        </w:rPr>
        <w:instrText xml:space="preserve"> HYPERLINK \l _Toc13662 </w:instrText>
      </w:r>
      <w:r>
        <w:rPr>
          <w:rFonts w:asciiTheme="minorHAnsi" w:hAnsiTheme="minorHAnsi" w:eastAsiaTheme="minorEastAsia" w:cstheme="minorBidi"/>
          <w:kern w:val="2"/>
          <w:sz w:val="32"/>
          <w:szCs w:val="32"/>
          <w:lang w:val="zh-CN"/>
        </w:rPr>
        <w:fldChar w:fldCharType="separate"/>
      </w:r>
      <w:r>
        <w:rPr>
          <w:rFonts w:hint="eastAsia" w:ascii="黑体" w:hAnsi="黑体" w:eastAsia="黑体" w:cs="黑体"/>
          <w:sz w:val="32"/>
          <w:szCs w:val="32"/>
        </w:rPr>
        <w:t>第五十八章  汇聚规划实施的强大合力</w:t>
      </w:r>
      <w:r>
        <w:rPr>
          <w:sz w:val="32"/>
          <w:szCs w:val="32"/>
        </w:rPr>
        <w:tab/>
      </w:r>
      <w:r>
        <w:rPr>
          <w:sz w:val="32"/>
          <w:szCs w:val="32"/>
        </w:rPr>
        <w:fldChar w:fldCharType="begin"/>
      </w:r>
      <w:r>
        <w:rPr>
          <w:sz w:val="32"/>
          <w:szCs w:val="32"/>
        </w:rPr>
        <w:instrText xml:space="preserve"> PAGEREF _Toc13662 </w:instrText>
      </w:r>
      <w:r>
        <w:rPr>
          <w:sz w:val="32"/>
          <w:szCs w:val="32"/>
        </w:rPr>
        <w:fldChar w:fldCharType="separate"/>
      </w:r>
      <w:r>
        <w:rPr>
          <w:sz w:val="32"/>
          <w:szCs w:val="32"/>
        </w:rPr>
        <w:t>126</w:t>
      </w:r>
      <w:r>
        <w:rPr>
          <w:sz w:val="32"/>
          <w:szCs w:val="32"/>
        </w:rPr>
        <w:fldChar w:fldCharType="end"/>
      </w:r>
      <w:r>
        <w:rPr>
          <w:rFonts w:asciiTheme="minorHAnsi" w:hAnsiTheme="minorHAnsi" w:eastAsiaTheme="minorEastAsia" w:cstheme="minorBidi"/>
          <w:color w:val="auto"/>
          <w:kern w:val="2"/>
          <w:sz w:val="32"/>
          <w:szCs w:val="32"/>
          <w:lang w:val="zh-CN"/>
        </w:rPr>
        <w:fldChar w:fldCharType="end"/>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asciiTheme="minorHAnsi" w:hAnsiTheme="minorHAnsi" w:eastAsiaTheme="minorEastAsia" w:cstheme="minorBidi"/>
          <w:color w:val="auto"/>
          <w:kern w:val="2"/>
          <w:sz w:val="21"/>
          <w:szCs w:val="22"/>
          <w:lang w:val="zh-CN"/>
        </w:rPr>
      </w:pPr>
      <w:r>
        <w:rPr>
          <w:rFonts w:asciiTheme="minorHAnsi" w:hAnsiTheme="minorHAnsi" w:eastAsiaTheme="minorEastAsia" w:cstheme="minorBidi"/>
          <w:color w:val="auto"/>
          <w:kern w:val="2"/>
          <w:sz w:val="32"/>
          <w:szCs w:val="32"/>
          <w:lang w:val="zh-CN"/>
        </w:rPr>
        <w:fldChar w:fldCharType="end"/>
      </w:r>
    </w:p>
    <w:p>
      <w:pPr>
        <w:rPr>
          <w:rFonts w:asciiTheme="minorHAnsi" w:hAnsiTheme="minorHAnsi" w:eastAsiaTheme="minorEastAsia" w:cstheme="minorBidi"/>
          <w:color w:val="auto"/>
          <w:kern w:val="2"/>
          <w:sz w:val="21"/>
          <w:szCs w:val="22"/>
          <w:lang w:val="zh-CN"/>
        </w:rPr>
      </w:pPr>
    </w:p>
    <w:sdt>
      <w:sdtPr>
        <w:rPr>
          <w:rFonts w:asciiTheme="minorHAnsi" w:hAnsiTheme="minorHAnsi" w:eastAsiaTheme="minorEastAsia" w:cstheme="minorBidi"/>
          <w:color w:val="auto"/>
          <w:kern w:val="2"/>
          <w:sz w:val="21"/>
          <w:szCs w:val="22"/>
          <w:lang w:val="zh-CN"/>
        </w:rPr>
        <w:id w:val="-423950249"/>
        <w:showingPlcHdr/>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pPr>
            <w:rPr>
              <w:rFonts w:hint="eastAsia"/>
            </w:rPr>
            <w:sectPr>
              <w:footerReference r:id="rId3" w:type="default"/>
              <w:pgSz w:w="11906" w:h="16838"/>
              <w:pgMar w:top="1984" w:right="1701" w:bottom="1701" w:left="1701" w:header="851" w:footer="1417" w:gutter="0"/>
              <w:pgNumType w:fmt="decimal" w:start="1"/>
              <w:cols w:space="0" w:num="1"/>
              <w:rtlGutter w:val="0"/>
              <w:docGrid w:type="linesAndChars" w:linePitch="312" w:charSpace="0"/>
            </w:sectPr>
          </w:pPr>
        </w:p>
      </w:sdtContent>
    </w:sdt>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0" w:name="_Toc77152077"/>
    </w:p>
    <w:p>
      <w:pPr>
        <w:keepNext w:val="0"/>
        <w:keepLines w:val="0"/>
        <w:pageBreakBefore w:val="0"/>
        <w:widowControl w:val="0"/>
        <w:kinsoku/>
        <w:wordWrap/>
        <w:overflowPunct/>
        <w:topLinePunct w:val="0"/>
        <w:autoSpaceDE/>
        <w:autoSpaceDN/>
        <w:bidi w:val="0"/>
        <w:adjustRightInd/>
        <w:snapToGrid/>
        <w:jc w:val="center"/>
        <w:textAlignment w:val="auto"/>
        <w:outlineLvl w:val="0"/>
        <w:rPr>
          <w:rFonts w:hint="eastAsia" w:ascii="方正小标宋简体" w:hAnsi="方正小标宋简体" w:eastAsia="方正小标宋简体" w:cs="方正小标宋简体"/>
          <w:sz w:val="44"/>
          <w:szCs w:val="44"/>
        </w:rPr>
      </w:pPr>
      <w:bookmarkStart w:id="1" w:name="_Toc7793"/>
      <w:r>
        <w:rPr>
          <w:rFonts w:hint="eastAsia" w:ascii="方正小标宋简体" w:hAnsi="方正小标宋简体" w:eastAsia="方正小标宋简体" w:cs="方正小标宋简体"/>
          <w:sz w:val="44"/>
          <w:szCs w:val="44"/>
        </w:rPr>
        <w:t>序  言</w:t>
      </w:r>
      <w:bookmarkEnd w:id="0"/>
      <w:bookmarkEnd w:id="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商水县国民经济和社会发展第十四个五年规划和二0三五年远景目标纲要，根据《中共商水县委关于制定商水县国民经济和社会发展第十四个五年规划和二0三五年远景目标的建议》编制，主要阐明全县“十四五”期间发展战略部署，明确经济社会发展总体思路、主要目标、重点任务和重大举措，是市场主体行为和市场配置资源的导向，是政府履行职责和年度工作安排的重要依据，是全县人民同心同德开启社会主义现代化建设新征程的行动纲领。</w:t>
      </w: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pStyle w:val="2"/>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2" w:name="_Toc15131"/>
      <w:bookmarkStart w:id="3" w:name="_Toc77152078"/>
      <w:r>
        <w:rPr>
          <w:rFonts w:hint="eastAsia" w:ascii="黑体" w:hAnsi="黑体" w:eastAsia="黑体" w:cs="黑体"/>
          <w:sz w:val="32"/>
          <w:szCs w:val="32"/>
        </w:rPr>
        <w:t>第一篇  开启全面建设社会主义现代化商水新征程</w:t>
      </w:r>
      <w:bookmarkEnd w:id="2"/>
      <w:bookmarkEnd w:id="3"/>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 w:name="_Toc77152079"/>
      <w:bookmarkStart w:id="5" w:name="_Toc7682"/>
      <w:r>
        <w:rPr>
          <w:rFonts w:hint="eastAsia" w:ascii="黑体" w:hAnsi="黑体" w:eastAsia="黑体" w:cs="黑体"/>
          <w:sz w:val="32"/>
          <w:szCs w:val="32"/>
        </w:rPr>
        <w:t>第一章  发展基础</w:t>
      </w:r>
      <w:bookmarkEnd w:id="4"/>
      <w:bookmarkEnd w:id="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十四五”时期，是开启全面建设社会主义现代化新征程、谱写新时代中原更加出彩商水绚丽篇章的关键时期。必须全面贯彻落实党的十九届五中全会精神和省委、周口市委决策部署，准确把握新发展阶段、新发展理念、新发展格局的核心要义和总体要求，奋力推进现代化建设开好局、起好步。</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6" w:name="_Toc9865"/>
      <w:bookmarkStart w:id="7" w:name="_Toc77152080"/>
      <w:r>
        <w:rPr>
          <w:rFonts w:hint="eastAsia" w:ascii="楷体_GB2312" w:hAnsi="楷体_GB2312" w:eastAsia="楷体_GB2312" w:cs="楷体_GB2312"/>
          <w:b/>
          <w:bCs/>
          <w:sz w:val="32"/>
          <w:szCs w:val="32"/>
        </w:rPr>
        <w:t>第一节  决胜全面建成小康社会取得决定性成就</w:t>
      </w:r>
      <w:bookmarkEnd w:id="6"/>
      <w:bookmarkEnd w:id="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过去的五年是极为不平凡的五年。面对错综复杂的外部环境和艰巨繁重的改革发展稳定任务，我县全面贯彻党的十九大和十九届二中、三中、四中、五中全会精神，深刻领会习近平总书记视察指导河南时重要讲话和指示批示精神，把“三起来”作为县域治理的主导方向，把“三结合”作为乡镇工作的根本遵循，坚持稳中求进工作总基调，坚持新发展理念，以全面建成小康社会为目标，以供给侧结构改革为主线，以改革开放为动力，开拓创新，奋力拼搏，统筹推进经济建设、政治建设、生态建设、文化建设和社会建设，着力擦亮“四张牌”，推进周商一体化，打好化解重大风险、精准脱贫、污染防治三大攻坚战，主动融入“中原港城”建设，统筹做好稳增长、促改革、调结构、惠民生、防风险、保稳定各项工作。严格落实疫情联防联控机制，疫情防控取得重大战略成果。扎实做好“六稳”工作，全面落实“六保”任务。全县胜利完成“十三五”规划的主要目标，决胜脱贫攻坚和全面建成小康社会取得决定性成就，经济社会发展站在新的历史台阶上。</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综合经济实力进一步增强。全县经济总量突破300亿元大关，提前实现比2010年翻一番的目标。优势产业发展迅速，食品加工、纺织服装形成两大百亿级产业集群；创新能力不断增强，科技创新机构和平台进一步发展壮大，拥有国家高新技术企业10家、省级智能工厂和智能车间发展到5家，省、市级工程技术研究中心发展到12家，建成省级科技孵化器1家、众创空间1家，高新技术产业增加值占规上工业增加值比重达到31.7%，阿尔本制衣有限公司被认定为“全国质量标杆企业”，是周口市唯一一家“河南省智能制造标杆企业”；二三产业增加值比重比2015年提高</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rPr>
        <w:t>个百分点。电子商务、众创空间、农业大数据平台等新产业、新业态、新模式迅速崛起，工业品牌、农产品地域公共品牌和基地建设成绩斐然，“商善若水”驰名商标享誉中原，获得“全省电子商务进农村综合示范县”荣誉称号，为开创现代化建设新局面奠定了坚实基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代农业建设步伐进一步加快。认真贯彻落实习近平总书记“扛牢粮食安全这一重任”的重大要求，粮食总产量稳定在22亿斤以上，连续6年荣获“全国粮食生产先进县”称号。高标准打造5万亩全国领先、全省一流的高标准农田核心示范区，发展优质强筋小麦30万亩，优质花生20万亩，优质芝麻12万亩，优质果蔬17万亩,成功创建了“全国农业综合标准化示范县”。连续14年获得全国生猪调出大县奖励。不断推进农业经营现代化，农村经济合作组织达到2347家，土地流转、土地托管成为一种时尚，农民正在成为有吸引力的职业，农业正在成为有奔头的产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改革开放进一步推进。农村集体产权制度和土地制度改革加快推进。行政管理体制改革不断深化，“放管服”改革成效明显，简化办事流程，推动“互联网+政务服务”平台建设，</w:t>
      </w:r>
      <w:r>
        <w:rPr>
          <w:rFonts w:hint="eastAsia" w:ascii="仿宋_GB2312" w:hAnsi="仿宋_GB2312" w:eastAsia="仿宋_GB2312" w:cs="仿宋_GB2312"/>
          <w:sz w:val="32"/>
          <w:szCs w:val="32"/>
          <w:lang w:val="en-US" w:eastAsia="zh-CN"/>
        </w:rPr>
        <w:t>1675</w:t>
      </w:r>
      <w:r>
        <w:rPr>
          <w:rFonts w:hint="eastAsia" w:ascii="仿宋_GB2312" w:hAnsi="仿宋_GB2312" w:eastAsia="仿宋_GB2312" w:cs="仿宋_GB2312"/>
          <w:sz w:val="32"/>
          <w:szCs w:val="32"/>
        </w:rPr>
        <w:t>项政务服务事项实现“一网通办”，</w:t>
      </w:r>
      <w:r>
        <w:rPr>
          <w:rFonts w:hint="eastAsia" w:ascii="仿宋_GB2312" w:hAnsi="仿宋_GB2312" w:eastAsia="仿宋_GB2312" w:cs="仿宋_GB2312"/>
          <w:sz w:val="32"/>
          <w:szCs w:val="32"/>
          <w:lang w:val="en-US" w:eastAsia="zh-CN"/>
        </w:rPr>
        <w:t>92.1</w:t>
      </w:r>
      <w:r>
        <w:rPr>
          <w:rFonts w:hint="eastAsia" w:ascii="仿宋_GB2312" w:hAnsi="仿宋_GB2312" w:eastAsia="仿宋_GB2312" w:cs="仿宋_GB2312"/>
          <w:sz w:val="32"/>
          <w:szCs w:val="32"/>
        </w:rPr>
        <w:t>%的审批服务事项实现“一门通办”，审批提速30%，“四卡”服务接力推进，营商环境持续优化。政府机构改革全面到位，行政效能有所提高。财税、金融、医药卫生体制改革取得新进展。对外开放取得重大成效，招商引资、引智、引技硕果累累，成功引进了雅戈尔盛泰纺织、牧原生猪屠宰及肉制品加工、斯达奇专用汽车制造等一批重大工业项目。水韵章华城市文旅综合体、中煦商业综合体、中商泽耀农商城等一批商业相继开工落地。产业集聚区、商务中心区改革创新、开放合作示范平台作用凸显，为经济社会发展注入新的活力。</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乡融合发展水平进一步提升。抢抓百城建设提质的重要机遇，高标准修订完善了城乡总规、控规、专项规划等，城区规划面积由30多平方公里增至70多平方公里，城市承载力得到极大提升。交通互联、生态修复、产业配套等工作持续推进，按照“一体两翼”的城市发展思路，确立了以八一路为中轴线的特色商业区和以隆达电厂为资源的西部产业集聚区；发挥商水毗邻周口中心城区优势，加快推进周商一体化，实现与周口中心城区的同向发展、融合发展；沙颍河等主要河道治理建设加快推进，城乡电网安全可靠性增强，天然气覆盖面逐步扩大，能源结构进一步优化，信息基础设施建设全面提速，4G网络实现城乡覆盖，宽带光纤、5G基站建设工程全县展开；美丽乡村建设加快推进较好完成市下达的农村户厕无害化改造任务，村容村貌发生根本性改观，黄寨镇、邓城镇、谭庄镇等小城镇建设得到有效提升，城关乡瓦房庄村、新城办算张村、老城办董欢村成为农村环境综合治理的典范，城乡面貌焕然一新；产业扶贫“巧媳妇”工程遍地开花，渔网编织、服装服饰、无纺布制品三大特色主导产业助推乡村振兴，美丽乡村建设持续发力。</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生态文明建设进一步加强。坚持绿色发展理念，持续抓好污染防治，着力打好蓝天、碧水、净土保卫战。实施“三清三改三提升”农村人居环境整治行动，</w:t>
      </w:r>
      <w:r>
        <w:rPr>
          <w:rFonts w:hint="eastAsia" w:ascii="仿宋_GB2312" w:hAnsi="仿宋_GB2312" w:eastAsia="仿宋_GB2312" w:cs="仿宋_GB2312"/>
          <w:sz w:val="32"/>
          <w:szCs w:val="32"/>
          <w:lang w:val="en-US" w:eastAsia="zh-CN"/>
        </w:rPr>
        <w:t>2020年</w:t>
      </w:r>
      <w:r>
        <w:rPr>
          <w:rFonts w:hint="eastAsia" w:ascii="仿宋_GB2312" w:hAnsi="仿宋_GB2312" w:eastAsia="仿宋_GB2312" w:cs="仿宋_GB2312"/>
          <w:sz w:val="32"/>
          <w:szCs w:val="32"/>
        </w:rPr>
        <w:t>城乡集中式饮用水源地水质100%达标， PM2.5浓度62微克/立方米，下降1.6%；PM10浓度102微克/立方米，下降10.5%，优良天数达到268天。持续对南干渠、清水河、运粮河进行整治，中心城区基本消除黑臭水体。全面落实河长制，境内断面水质全部达标，集中式饮用水水源地水质达标率100%。土壤环境总体保持稳定。国土绿化提速行动深入实施，</w:t>
      </w:r>
      <w:r>
        <w:rPr>
          <w:rFonts w:hint="eastAsia" w:ascii="仿宋_GB2312" w:hAnsi="仿宋_GB2312" w:eastAsia="仿宋_GB2312" w:cs="仿宋_GB2312"/>
          <w:sz w:val="32"/>
          <w:szCs w:val="32"/>
          <w:lang w:eastAsia="zh-CN"/>
        </w:rPr>
        <w:t>林木</w:t>
      </w:r>
      <w:r>
        <w:rPr>
          <w:rFonts w:hint="eastAsia" w:ascii="仿宋_GB2312" w:hAnsi="仿宋_GB2312" w:eastAsia="仿宋_GB2312" w:cs="仿宋_GB2312"/>
          <w:sz w:val="32"/>
          <w:szCs w:val="32"/>
        </w:rPr>
        <w:t>覆盖率达</w:t>
      </w:r>
      <w:r>
        <w:rPr>
          <w:rFonts w:hint="eastAsia" w:ascii="仿宋_GB2312" w:hAnsi="仿宋_GB2312" w:eastAsia="仿宋_GB2312" w:cs="仿宋_GB2312"/>
          <w:sz w:val="32"/>
          <w:szCs w:val="32"/>
          <w:lang w:val="en-US" w:eastAsia="zh-CN"/>
        </w:rPr>
        <w:t>23.8</w:t>
      </w:r>
      <w:r>
        <w:rPr>
          <w:rFonts w:hint="eastAsia" w:ascii="仿宋_GB2312" w:hAnsi="仿宋_GB2312" w:eastAsia="仿宋_GB2312" w:cs="仿宋_GB2312"/>
          <w:sz w:val="32"/>
          <w:szCs w:val="32"/>
        </w:rPr>
        <w:t xml:space="preserve"> %。静脉产业园建设加快，被确定为“国家级资源循环利用基地”，为我县生态工业的发展奠定了基础。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生福祉保障能力进一步改善。以脱贫攻坚统揽经济社会发展全局，贯彻落实习总书记精准扶贫方略，形成了千人驻村、万人帮扶生动局面，全县23607户92978贫困人口全部实现脱贫。持续加大民生投入，民生支出占一般公共预算支出比重达80%以上。各类教育设施显著改善，公共教育均等化水平进一步提升，普惠性幼儿园覆盖率达97.8%。推进县域医共体、居民健康档案、分级诊疗、签约服务等新举措，公共医疗卫生服务和保障能力不断增强。文化建设步伐加快，传统媒体和新媒体融合发展。就业和社会保障取得新成效，百万人民福祉得到历史性提升，全县农村居民人均可支配收入由201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年的</w:t>
      </w:r>
      <w:r>
        <w:rPr>
          <w:rFonts w:hint="eastAsia" w:ascii="仿宋_GB2312" w:hAnsi="仿宋_GB2312" w:eastAsia="仿宋_GB2312" w:cs="仿宋_GB2312"/>
          <w:sz w:val="32"/>
          <w:szCs w:val="32"/>
          <w:lang w:val="en-US" w:eastAsia="zh-CN"/>
        </w:rPr>
        <w:t>8272</w:t>
      </w:r>
      <w:r>
        <w:rPr>
          <w:rFonts w:hint="eastAsia" w:ascii="仿宋_GB2312" w:hAnsi="仿宋_GB2312" w:eastAsia="仿宋_GB2312" w:cs="仿宋_GB2312"/>
          <w:sz w:val="32"/>
          <w:szCs w:val="32"/>
        </w:rPr>
        <w:t>元增至</w:t>
      </w:r>
      <w:r>
        <w:rPr>
          <w:rFonts w:hint="eastAsia" w:ascii="仿宋_GB2312" w:hAnsi="仿宋_GB2312" w:eastAsia="仿宋_GB2312" w:cs="仿宋_GB2312"/>
          <w:sz w:val="32"/>
          <w:szCs w:val="32"/>
          <w:lang w:val="en-US" w:eastAsia="zh-CN"/>
        </w:rPr>
        <w:t>2020年</w:t>
      </w:r>
      <w:r>
        <w:rPr>
          <w:rFonts w:hint="eastAsia" w:ascii="仿宋_GB2312" w:hAnsi="仿宋_GB2312" w:eastAsia="仿宋_GB2312" w:cs="仿宋_GB2312"/>
          <w:sz w:val="32"/>
          <w:szCs w:val="32"/>
        </w:rPr>
        <w:t>的12</w:t>
      </w:r>
      <w:r>
        <w:rPr>
          <w:rFonts w:hint="eastAsia" w:ascii="仿宋_GB2312" w:hAnsi="仿宋_GB2312" w:eastAsia="仿宋_GB2312" w:cs="仿宋_GB2312"/>
          <w:sz w:val="32"/>
          <w:szCs w:val="32"/>
          <w:lang w:val="en-US" w:eastAsia="zh-CN"/>
        </w:rPr>
        <w:t>514</w:t>
      </w:r>
      <w:r>
        <w:rPr>
          <w:rFonts w:hint="eastAsia" w:ascii="仿宋_GB2312" w:hAnsi="仿宋_GB2312" w:eastAsia="仿宋_GB2312" w:cs="仿宋_GB2312"/>
          <w:sz w:val="32"/>
          <w:szCs w:val="32"/>
        </w:rPr>
        <w:t>元，比“十二五”末提高了4200多元，人民获得感、幸福感、安全感普遍提高。</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排除化解风险隐患成效进一步显现。全县政府债务风险总体可控，县本级债务风险稳中有降，守住了不发生系统性区域性风险的底线。核销化解政府隐形债务7.93亿元，居全市第一，政府债务率25.48%，低于全市平均水平。加大安全隐患排查整改力度，问题楼盘、非法集资等社会矛盾风险正在逐步化解，社会大局和谐稳定。被省委、省政府表彰为“新中国成立70周年大庆安全稳定工作表现突出集体”。</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年来，我们始终坚持政治引领，把习近平新时代中国特色社会主义思想作为推动高质量发展的根本遵循。引导全县党员干部把准政治方向、站稳政治立场，增强“四个意识”、坚定“四个自信”、做到“两个维护”，为实现商水高质量发展提供坚强保证。我们始终坚持新发展理念，紧扣全面建成小康社会目标任务，推动高质量发展。以供给侧结构性改革为主线，坚持以改革开放为动力，围绕产业结构升级、生态保护创新发展，扩大开放等领域锻长板补短板，谋划实施一批打基础、增后劲、利长远的重大项目。我们始终坚持人民至上，把满足人民对美好生活的需要，作为推动高质量发展的动力源泉。始终把增进人民福祉作为各项工作的出发点和落脚点，办好民生实事，打赢脱贫攻坚战，人民群众的获得感、幸福感、安全感不断增强。我们始终坚持大抓基层基础，把加强党的领导作为推动高质量发展的根本保证。全面落实新时代党的建设总要求和党的组织路线，着力建强基层组织、夯实基层工作、提升基本能力，一以贯之正风肃纪反腐，提高党把方向、谋大局、定政策、促改革的能力和定力，“四个始终坚持”是我们在实践中对推动高质量发展的规律性认识，在未来发展中需要长期坚持、不断完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tbl>
      <w:tblPr>
        <w:tblStyle w:val="26"/>
        <w:tblW w:w="89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05"/>
        <w:gridCol w:w="842"/>
        <w:gridCol w:w="356"/>
        <w:gridCol w:w="1190"/>
        <w:gridCol w:w="961"/>
        <w:gridCol w:w="1056"/>
        <w:gridCol w:w="993"/>
        <w:gridCol w:w="965"/>
        <w:gridCol w:w="1026"/>
        <w:gridCol w:w="1035"/>
        <w:gridCol w:w="1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tblHeader/>
          <w:jc w:val="center"/>
        </w:trPr>
        <w:tc>
          <w:tcPr>
            <w:tcW w:w="8940" w:type="dxa"/>
            <w:gridSpan w:val="11"/>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eastAsia="zh-CN"/>
              </w:rPr>
              <w:t>专栏</w:t>
            </w:r>
            <w:r>
              <w:rPr>
                <w:rFonts w:hint="eastAsia" w:ascii="仿宋_GB2312" w:hAnsi="仿宋_GB2312" w:eastAsia="仿宋_GB2312" w:cs="仿宋_GB2312"/>
                <w:b/>
                <w:bCs/>
                <w:sz w:val="24"/>
                <w:szCs w:val="24"/>
              </w:rPr>
              <w:t>1： “十三五”规划主要目标完成情况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6" w:hRule="atLeast"/>
          <w:tblHeader/>
          <w:jc w:val="center"/>
        </w:trPr>
        <w:tc>
          <w:tcPr>
            <w:tcW w:w="2893" w:type="dxa"/>
            <w:gridSpan w:val="4"/>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指标名称</w:t>
            </w:r>
          </w:p>
        </w:tc>
        <w:tc>
          <w:tcPr>
            <w:tcW w:w="961"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2015年基数</w:t>
            </w:r>
          </w:p>
        </w:tc>
        <w:tc>
          <w:tcPr>
            <w:tcW w:w="2049"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“十三五”规划目标</w:t>
            </w:r>
          </w:p>
        </w:tc>
        <w:tc>
          <w:tcPr>
            <w:tcW w:w="199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“十三五”完成情况</w:t>
            </w:r>
          </w:p>
        </w:tc>
        <w:tc>
          <w:tcPr>
            <w:tcW w:w="1046"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指标</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tblHeader/>
          <w:jc w:val="center"/>
        </w:trPr>
        <w:tc>
          <w:tcPr>
            <w:tcW w:w="2893" w:type="dxa"/>
            <w:gridSpan w:val="4"/>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p>
        </w:tc>
        <w:tc>
          <w:tcPr>
            <w:tcW w:w="961"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2020年</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年均增长（%）</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2020年</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年均增长（%）</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属性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8929" w:type="dxa"/>
            <w:gridSpan w:val="10"/>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一、经济发展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地区生产总值（亿元）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206.4</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8.5左右</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304.8</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5.9</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人均生产总值（元）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23064</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8.5左右</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31716</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固定资产投资（亿元）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163.9</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6.7</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公共财政预算收入（亿元）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6.4</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10以上</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8.6</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社会消费品零售总额（亿元）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70.6</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124.4</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99.87</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8.9</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8929" w:type="dxa"/>
            <w:gridSpan w:val="10"/>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二、结构调整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工业增加值比重%</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40.8</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38.9</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40.9</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引导性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城镇化率%</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32.3</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40以上</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39.88</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845" w:hRule="atLeast"/>
          <w:jc w:val="center"/>
        </w:trPr>
        <w:tc>
          <w:tcPr>
            <w:tcW w:w="50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研究与开发经费支出占</w:t>
            </w:r>
            <w:r>
              <w:rPr>
                <w:rFonts w:hint="eastAsia" w:ascii="仿宋_GB2312" w:hAnsi="仿宋_GB2312" w:eastAsia="仿宋_GB2312" w:cs="仿宋_GB2312"/>
                <w:sz w:val="24"/>
                <w:szCs w:val="24"/>
              </w:rPr>
              <w:br w:type="textWrapping"/>
            </w:r>
            <w:r>
              <w:rPr>
                <w:rFonts w:hint="eastAsia" w:ascii="仿宋_GB2312" w:hAnsi="仿宋_GB2312" w:eastAsia="仿宋_GB2312" w:cs="仿宋_GB2312"/>
                <w:sz w:val="24"/>
                <w:szCs w:val="24"/>
              </w:rPr>
              <w:t>生产总值比重%</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0.39</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省级以上农业产业化龙头企业(家)</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旅游总收入占地区生产总值比重%</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8929" w:type="dxa"/>
            <w:gridSpan w:val="10"/>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三、改革开放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外贸进出口总额（万元）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2385</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9000</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30</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124663</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引进省外资金(亿元)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38.6</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80</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50.75</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引导性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8929" w:type="dxa"/>
            <w:gridSpan w:val="10"/>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四、基础支撑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粮食作物种植面积（万亩）</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230</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230</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234</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万元工业增加值用水量（立方米）</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21.74</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845"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农业灌溉用水有效利用系数</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0.62</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1123"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万元生产总值能耗</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(2015年价）（吨标煤）</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845"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万元生产总值二氧化碳排放量</w:t>
            </w:r>
            <w:r>
              <w:rPr>
                <w:rFonts w:hint="eastAsia" w:ascii="仿宋_GB2312" w:hAnsi="仿宋_GB2312" w:eastAsia="仿宋_GB2312" w:cs="仿宋_GB2312"/>
                <w:sz w:val="24"/>
                <w:szCs w:val="24"/>
                <w:lang w:eastAsia="zh-CN"/>
              </w:rPr>
              <w:t>降低</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14.9</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w:t>
            </w:r>
          </w:p>
        </w:tc>
        <w:tc>
          <w:tcPr>
            <w:tcW w:w="842" w:type="dxa"/>
            <w:vMerge w:val="restar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主要污染物排放减少</w:t>
            </w:r>
          </w:p>
        </w:tc>
        <w:tc>
          <w:tcPr>
            <w:tcW w:w="1546" w:type="dxa"/>
            <w:gridSpan w:val="2"/>
            <w:tcBorders>
              <w:left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化学需氧量%</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9.97</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按下达目标确定</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842" w:type="dxa"/>
            <w:vMerge w:val="continue"/>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546" w:type="dxa"/>
            <w:gridSpan w:val="2"/>
            <w:tcBorders>
              <w:top w:val="single" w:color="auto" w:sz="4" w:space="0"/>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二氧化硫%</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4.26</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18.14</w:t>
            </w:r>
          </w:p>
        </w:tc>
        <w:tc>
          <w:tcPr>
            <w:tcW w:w="1026"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3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842" w:type="dxa"/>
            <w:vMerge w:val="continue"/>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546" w:type="dxa"/>
            <w:gridSpan w:val="2"/>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氨氮%</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12.95</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3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634" w:hRule="atLeast"/>
          <w:jc w:val="center"/>
        </w:trPr>
        <w:tc>
          <w:tcPr>
            <w:tcW w:w="50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842" w:type="dxa"/>
            <w:vMerge w:val="continue"/>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546" w:type="dxa"/>
            <w:gridSpan w:val="2"/>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氮氧化物%</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11.74</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完成市定目标</w:t>
            </w:r>
          </w:p>
        </w:tc>
        <w:tc>
          <w:tcPr>
            <w:tcW w:w="993"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6.13</w:t>
            </w:r>
          </w:p>
        </w:tc>
        <w:tc>
          <w:tcPr>
            <w:tcW w:w="1026"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3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401" w:hRule="atLeast"/>
          <w:jc w:val="center"/>
        </w:trPr>
        <w:tc>
          <w:tcPr>
            <w:tcW w:w="505"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w:t>
            </w:r>
          </w:p>
        </w:tc>
        <w:tc>
          <w:tcPr>
            <w:tcW w:w="842" w:type="dxa"/>
            <w:vMerge w:val="restar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森林</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增长</w:t>
            </w:r>
          </w:p>
        </w:tc>
        <w:tc>
          <w:tcPr>
            <w:tcW w:w="1546" w:type="dxa"/>
            <w:gridSpan w:val="2"/>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林木覆盖率%</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23.8</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26</w:t>
            </w:r>
          </w:p>
        </w:tc>
        <w:tc>
          <w:tcPr>
            <w:tcW w:w="993"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按下达目标确定</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23.8</w:t>
            </w:r>
          </w:p>
        </w:tc>
        <w:tc>
          <w:tcPr>
            <w:tcW w:w="1026"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683" w:hRule="atLeast"/>
          <w:jc w:val="center"/>
        </w:trPr>
        <w:tc>
          <w:tcPr>
            <w:tcW w:w="50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842" w:type="dxa"/>
            <w:vMerge w:val="continue"/>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546" w:type="dxa"/>
            <w:gridSpan w:val="2"/>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森林蓄积量（万立方米）</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272</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312</w:t>
            </w:r>
          </w:p>
        </w:tc>
        <w:tc>
          <w:tcPr>
            <w:tcW w:w="993" w:type="dxa"/>
            <w:vMerge w:val="continue"/>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281</w:t>
            </w:r>
          </w:p>
        </w:tc>
        <w:tc>
          <w:tcPr>
            <w:tcW w:w="1026"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3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8929" w:type="dxa"/>
            <w:gridSpan w:val="10"/>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五、民生改善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总人口（万人）</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123.8</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127.2</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5.5 ‰以内</w:t>
            </w:r>
          </w:p>
        </w:tc>
        <w:tc>
          <w:tcPr>
            <w:tcW w:w="96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126.4</w:t>
            </w:r>
          </w:p>
        </w:tc>
        <w:tc>
          <w:tcPr>
            <w:tcW w:w="102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调查失业率（%）</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3.9左右</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4.5以内</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城乡居民社会养老保险参保率（%）</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98</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98以上</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98</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累计实现城镇就业人数（万人）</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4.3</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24</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城镇居民人均</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可支配收入（元）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20270</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27700</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5.7</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25</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农民人均纯收入（元）</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8272</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12514</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9.2</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288" w:hRule="atLeast"/>
          <w:jc w:val="center"/>
        </w:trPr>
        <w:tc>
          <w:tcPr>
            <w:tcW w:w="505"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26</w:t>
            </w:r>
          </w:p>
        </w:tc>
        <w:tc>
          <w:tcPr>
            <w:tcW w:w="1198" w:type="dxa"/>
            <w:gridSpan w:val="2"/>
            <w:vMerge w:val="restart"/>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宽带接入能力（Mbps）</w:t>
            </w:r>
          </w:p>
        </w:tc>
        <w:tc>
          <w:tcPr>
            <w:tcW w:w="1190"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城市</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993" w:type="dxa"/>
            <w:vMerge w:val="restart"/>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按下达目标确定</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Merge w:val="restart"/>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57" w:hRule="atLeast"/>
          <w:jc w:val="center"/>
        </w:trPr>
        <w:tc>
          <w:tcPr>
            <w:tcW w:w="505"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98" w:type="dxa"/>
            <w:gridSpan w:val="2"/>
            <w:vMerge w:val="continue"/>
            <w:tcBorders>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90" w:type="dxa"/>
            <w:tcBorders>
              <w:lef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农村</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50</w:t>
            </w:r>
          </w:p>
        </w:tc>
        <w:tc>
          <w:tcPr>
            <w:tcW w:w="993" w:type="dxa"/>
            <w:vMerge w:val="continue"/>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26"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35" w:type="dxa"/>
            <w:vMerge w:val="continue"/>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66"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27</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贫困发生率（%）</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&lt;0.5</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gridAfter w:val="1"/>
          <w:wAfter w:w="11" w:type="dxa"/>
          <w:trHeight w:val="575" w:hRule="atLeast"/>
          <w:jc w:val="center"/>
        </w:trPr>
        <w:tc>
          <w:tcPr>
            <w:tcW w:w="50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28</w:t>
            </w:r>
          </w:p>
        </w:tc>
        <w:tc>
          <w:tcPr>
            <w:tcW w:w="2388"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平均每千名老人养老床位数（张）</w:t>
            </w:r>
          </w:p>
        </w:tc>
        <w:tc>
          <w:tcPr>
            <w:tcW w:w="96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056"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35</w:t>
            </w:r>
          </w:p>
        </w:tc>
        <w:tc>
          <w:tcPr>
            <w:tcW w:w="99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965"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30</w:t>
            </w:r>
          </w:p>
        </w:tc>
        <w:tc>
          <w:tcPr>
            <w:tcW w:w="1026" w:type="dxa"/>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035"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8" w:name="_Toc77152081"/>
      <w:bookmarkStart w:id="9" w:name="_Toc15181"/>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0" w:name="_Toc9582"/>
      <w:r>
        <w:rPr>
          <w:rFonts w:hint="eastAsia" w:ascii="楷体_GB2312" w:hAnsi="楷体_GB2312" w:eastAsia="楷体_GB2312" w:cs="楷体_GB2312"/>
          <w:b/>
          <w:bCs/>
          <w:sz w:val="32"/>
          <w:szCs w:val="32"/>
        </w:rPr>
        <w:t>第二节  “十四五”面临的新形势新特征新要求</w:t>
      </w:r>
      <w:bookmarkEnd w:id="8"/>
      <w:bookmarkEnd w:id="10"/>
    </w:p>
    <w:bookmarkEnd w:id="9"/>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宏观环境看，当前和今后一个时期，我国发展仍然处于重要战略机遇期，但机遇和挑战都有新的发展变化。当今世界正经历百年未有之大变局，新一轮科技革命和产业变革深入发展，国际力量对比深刻调整，和平与发展仍然是时代主题。同时国际环境日趋复杂，不稳定性不确定性明显增加，新冠肺炎疫情影响广泛深远，经济全球化遭遇逆流，世界进入动荡变革期。</w:t>
      </w:r>
      <w:r>
        <w:rPr>
          <w:rFonts w:hint="eastAsia" w:ascii="仿宋_GB2312" w:hAnsi="仿宋_GB2312" w:eastAsia="仿宋_GB2312" w:cs="仿宋_GB2312"/>
          <w:sz w:val="32"/>
          <w:szCs w:val="32"/>
          <w:lang w:eastAsia="zh-CN"/>
        </w:rPr>
        <w:t>从全国看，</w:t>
      </w:r>
      <w:r>
        <w:rPr>
          <w:rFonts w:hint="eastAsia" w:ascii="仿宋_GB2312" w:hAnsi="仿宋_GB2312" w:eastAsia="仿宋_GB2312" w:cs="仿宋_GB2312"/>
          <w:sz w:val="32"/>
          <w:szCs w:val="32"/>
        </w:rPr>
        <w:t>我国已转向高质量发展阶段，制度优势显著，治理效能提升，经济长期向好，物质基础雄厚，人力资源丰富，市场空间广阔，发展韧性强劲，社会大局稳定，继续发展具有多方面优势和条件。围绕应对复杂严峻的国际形势，战胜各种风险挑战，党中央作出把扩大内需作为战略基点、构建新发展格局的强国方略，对经济建设、社会建设、生态建设、文化建设提出了更高质量、更有效率、更加公平、更可持续、更为安全发展的新要求。从全市看，市委提出在“十四五”时期，将全力打造临港经济城市、多式联运枢纽城市，当好河南对接长三角的桥头堡、河南对接“海上丝绸之路”的战略支点，商水有成熟的港口航运和发达的公路、高速交通网络，又紧邻周口火车站、周口高铁站，对于实施上述战略具有得天独厚的优势。从我县自身看，虽然我们经济社会发展不平衡、不充分的矛盾依然突出；经济总量在全市仍处于靠后位次，财政实力较弱。农业大而不强；工业传统产业占比大，缺乏带动能力强的龙头型企业，高新技术产业占比低；服务业规模小、层次低，新产业、新业态、新模式尚未培育成熟；城乡建设欠账多，民生短板依然突出。但在新的发展阶段，我县从实现脱贫摘帽到乡村全面振兴，县域经济高质量发展进入跨越攀升期，发展动能转换进入加速突破期，周商一体化进入拓展提质期，生态环境建设进入巩固强化期，改革开放进入强力推进期，社会治理能力进入优化提升期，面临的机遇和挑战并存，机遇大于挑战。我县产业基础坚实，主导产业优势突出，科技创新要素的吸引和凝聚能力不断增强，具有加快动能转换、转型升级的有利条件；周口区域中心城市建设和周商一体化加快推进，带动特色小城镇快速发展，城乡融合发展的机遇和有利条件不断增多；我县开放招商吸引力显著增强，以商招商、链式招商、招才引智前景广阔，具有扩大陆、空、水、网“四路”开放的良好条件；中部崛起、中原城市群建设、黄河流域生态保护和高质量发展规划等国家重大战略和政策叠加，将给我县构建新发展格局提供诸多机遇。面对新形势、新特征、新要求，要乘势而上，抢抓战略叠加凸显期的时代机遇、优势潜能释放期的时代机遇、周商一体化的时代机遇，坚持新发展理念，紧扣高质量发展，下大力气推进质量变革、效率变革、动力变革、机制变革，充分激发市场潜力和经济活力，实现向第二个百年奋斗目标迈进的良好开局。</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1" w:name="_Toc6853"/>
      <w:bookmarkStart w:id="12" w:name="_Toc77152082"/>
      <w:r>
        <w:rPr>
          <w:rFonts w:hint="eastAsia" w:ascii="黑体" w:hAnsi="黑体" w:eastAsia="黑体" w:cs="黑体"/>
          <w:sz w:val="32"/>
          <w:szCs w:val="32"/>
        </w:rPr>
        <w:t>第二章  指导方针</w:t>
      </w:r>
      <w:bookmarkEnd w:id="11"/>
      <w:bookmarkEnd w:id="1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党的十八大以来，习近平总书记三次亲临河南视察并发表重要讲话、多次对河南工作作出重要指标批示，赋予</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谱写新时代中原更加出彩的绚丽篇章、在中部地区崛起中奋勇争先、把黄河建设成造福人民的幸福河等重大使命，明确扛稳粮食安全这个重任、坚持制造业高质量发展主攻方向等重大任务，充分体现了习总书记对河南发展的如山厚望，充分展现了人民领袖对中原儿女的深情关怀。这是引领新时代商水发展的总纲领，是推进现代化商水建设的总遵循。全县上下必须坚定沿着习总书记指引的方向奋勇前进，推动党中央决策部署在中原大地结出更加丰硕的成果。</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3" w:name="_Toc77152083"/>
      <w:bookmarkStart w:id="14" w:name="_Toc29274"/>
      <w:r>
        <w:rPr>
          <w:rFonts w:hint="eastAsia" w:ascii="楷体_GB2312" w:hAnsi="楷体_GB2312" w:eastAsia="楷体_GB2312" w:cs="楷体_GB2312"/>
          <w:b/>
          <w:bCs/>
          <w:sz w:val="32"/>
          <w:szCs w:val="32"/>
        </w:rPr>
        <w:t>第一节  指导思想</w:t>
      </w:r>
      <w:bookmarkEnd w:id="13"/>
      <w:bookmarkEnd w:id="1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商水县委关于制定商水县国民经济和社会发展第十四个五年规划和二0三五年远景目标的建议》提出，“十四五”时期我县经济社会发展的指导思想是：高举中国特色社会主义伟大旗帜，深入贯彻党的十九大和十九届二中、三中、四中、五中全会精神，坚持以习近平新时代中国特色社会主义思想为指导，全面贯彻党的基本理论、基本路线、基本方略，深入学习贯彻习近平总书记视察河南重要讲话和指示批示精神，统筹推进“五位一体”总体布局，协调推进“四个全面”战略布局，坚定不移贯彻新发展理念，坚持稳中求进工作总基调，立足新发展阶段、贯彻新发展理念、构建新发展格局，以推动高质量发展为主题，以深化供给侧结构性改革为主线，以改革创新为根本动力，以满足人民日益增长的美好生活需要为根本目的，统筹发展和安全，加快建设现代化经济体系，着力实施产业引领、开放带动、融合优先、城乡均衡战略；着力发展新经济、构筑新平台、培育新动能、开拓新空间、再造新优势；着力推动经济高质量发展、社会高品质构建、文化高层次跃升、生态高水平建设；着力巩固提升精准脱贫和全面小康社会成果，着力打造全国粮食生产核心示范区、全国纺织印染全产业链创新示范区、全国农副产品加工示范区、全国乡村产业富民示范区“四张名片”，努力建设农业经济强县、返乡创业强县、产业富民强县、现代物流强县、文化旅游强县“五个强县”，实现综合实力跨入全市第一方阵，为全面建设社会主义现代化新商水开好局、起好步。</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5" w:name="_Toc23488"/>
      <w:bookmarkStart w:id="16" w:name="_Toc77152084"/>
      <w:r>
        <w:rPr>
          <w:rFonts w:hint="eastAsia" w:ascii="楷体_GB2312" w:hAnsi="楷体_GB2312" w:eastAsia="楷体_GB2312" w:cs="楷体_GB2312"/>
          <w:b/>
          <w:bCs/>
          <w:sz w:val="32"/>
          <w:szCs w:val="32"/>
        </w:rPr>
        <w:t>第二节  基本要求</w:t>
      </w:r>
      <w:bookmarkEnd w:id="15"/>
      <w:bookmarkEnd w:id="1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坚持党的全面领导。增强“四个意识”、坚定“四个自信”、做到“两个维护”，切实加强党对经济社会发展的全面领导，为实现高质量发展提供根本保证。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坚持以人民为中心。始终把人民对美好生活的向往作为奋斗目标，坚持共同富裕方向，切实保障和改善民生，促进社会公平，持续增进民生福祉。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坚持新的发展理念。把新发展理念贯穿发展全过程和各领域，坚定不移推动新旧动能转换，加快质量变革、效率变革、动力变革，奋力在高质量发展上实现新突破。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坚持新的发展格局。扭住扩大内需战略基点，使生产、分配、流通、消费更多依托国内市场，主动融入黄河流域生态保护和高质量发展战略，积极探索有利于促进构建新发展格局的有效路径。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坚持改革创新开放。更大力度解放思想、更新观念，破除制约高质量发展、高品质生活的体制机制障碍，强化有利于调动各方面积极性的重大改革开放举措，持续增强发展动力和活力。</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六稳六保措施。加强对各领域发展的前瞻性思考、全局性谋划、战略性布局、整体性推进，统筹稳增长、促改革、调结构、惠民生、防风险、保稳定，着力固根基、扬优势、补短板、强弱项，落实六稳目标，完成六保任务，全面协调推动新时代现代化强县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7" w:name="_Toc77152085"/>
      <w:bookmarkStart w:id="18" w:name="_Toc19021"/>
      <w:r>
        <w:rPr>
          <w:rFonts w:hint="eastAsia" w:ascii="黑体" w:hAnsi="黑体" w:eastAsia="黑体" w:cs="黑体"/>
          <w:sz w:val="32"/>
          <w:szCs w:val="32"/>
        </w:rPr>
        <w:t>第三章  主要目标</w:t>
      </w:r>
      <w:bookmarkEnd w:id="17"/>
      <w:bookmarkEnd w:id="1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综合考虑外部形势和发展条件，确定2035年远景目标和“十四五”时期经济社会发展目标如下。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9" w:name="_Toc77152086"/>
      <w:bookmarkStart w:id="20" w:name="_Toc19668"/>
      <w:r>
        <w:rPr>
          <w:rFonts w:hint="eastAsia" w:ascii="楷体_GB2312" w:hAnsi="楷体_GB2312" w:eastAsia="楷体_GB2312" w:cs="楷体_GB2312"/>
          <w:b/>
          <w:bCs/>
          <w:sz w:val="32"/>
          <w:szCs w:val="32"/>
        </w:rPr>
        <w:t>第一节   2035年远景目标</w:t>
      </w:r>
      <w:bookmarkEnd w:id="19"/>
      <w:bookmarkEnd w:id="2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展望2035年，我县综合经济实力大幅跃升，基本实现新型工业化、信息化、城镇化、农业现代化，人均地区生产总值和城乡居民人均可支配收入赶超全省平均水平，建成“五个强县”和幸福美好家园。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经济强县。依托全国粮食生产核心示范区名片，农业生产经营实现规模化、标准化、数字化、智能化，构建起现代农业创新体系、产业体系、服务体系，农产品质量效益，乡村产业成为具有核心竞争力的产业，实现由产粮大县向农业经济强县转变。</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——返乡创业强县。创新创业蓬勃发展，返乡创业服务更有保障，创业平台进一步完善，建成人才返乡创业热地。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业富民强县。推进产业基础高级化、产业链现代化，强化先进制造业和现代服务业协同驱动、数字经济和实体经济深度融合，做靓全国纺织印染全产业链创新示范区、全国农副产品加工示范区，培育形成1个省级以上先进制造业集群。</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代物流强县。积极融入“中原港城”建设，打通沿长江、南北沿海两条国家物流通道，打造河南的出海口、连接长三角经济圈的“桥头堡”，有效融入“一带一路”水运港口码头体系，拓展内循环发展空间，实现由“黄土经济”向“蓝水经济”转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旅游强县。坚持规划高起点、项目高质量、业态大创新、市场大开放、环境大提升，社会主义核心价值观广泛践行，社会主义精神文明和物质文明协调发展，公民素质和社会文明程度达到新高度，文化事业和文化产业发展进入全省县级先进行列，建成具有商水特色的滨河生态文化、平原农耕文化和传统文化旅游胜地，文化软实力显著增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幸福美好家园。社会治理体系和安全保障体系现代化基本实现，绿色发展方式和生活方式基本形成，生态环境实现根本性好转，居民收入增长和经济增长基本同步，实现基本公共服务均等化现代化，建成“健康商水”，平安商水建设达到更高水平，共同富裕取得更为明显的实质性进展，人民的基本需求满足感、就业创业成就感、生产生活安全感、人居环境舒适感和精神生活充实感大幅增强，城乡居民收入水平差距显著缩小，人民生活更加美好，人的全面发展、共同富裕取得实质性重大进展。</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1" w:name="_Toc77152087"/>
      <w:bookmarkStart w:id="22" w:name="_Toc12136"/>
      <w:r>
        <w:rPr>
          <w:rFonts w:hint="eastAsia" w:ascii="楷体_GB2312" w:hAnsi="楷体_GB2312" w:eastAsia="楷体_GB2312" w:cs="楷体_GB2312"/>
          <w:b/>
          <w:bCs/>
          <w:sz w:val="32"/>
          <w:szCs w:val="32"/>
        </w:rPr>
        <w:t>第二节  “十四五”经济社会发展的主要目标</w:t>
      </w:r>
      <w:bookmarkEnd w:id="21"/>
      <w:bookmarkEnd w:id="2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锚定2035年远景目标，按照生产总值、财政收入、居民收入的增速均高于全市平均水平的奋斗标杆，今后五年经济社会发展的主要目标是：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综合经济实力更强。经济结构更加优化，增长潜力充分释放，发展优势充分彰显，经济总量实现更大幅度跃升，发展质量效益显著增强，主要经济指标年均增速高于全国平均水平，地区生产总值增长率</w:t>
      </w:r>
      <w:r>
        <w:rPr>
          <w:rFonts w:hint="eastAsia" w:ascii="仿宋_GB2312" w:hAnsi="仿宋_GB2312" w:eastAsia="仿宋_GB2312" w:cs="仿宋_GB2312"/>
          <w:sz w:val="32"/>
          <w:szCs w:val="32"/>
          <w:lang w:val="en-US" w:eastAsia="zh-CN"/>
        </w:rPr>
        <w:t>6.5</w:t>
      </w:r>
      <w:r>
        <w:rPr>
          <w:rFonts w:hint="eastAsia" w:ascii="仿宋_GB2312" w:hAnsi="仿宋_GB2312" w:eastAsia="仿宋_GB2312" w:cs="仿宋_GB2312"/>
          <w:sz w:val="32"/>
          <w:szCs w:val="32"/>
        </w:rPr>
        <w:t>%，人均GDP和居民人均可支配收入超越全市平均水平。 现代化经济体系建设取得重大进展，形成300亿元级现代纺织印染服装全产业链集群、200亿元级高端面粉食品及饲料产业链集群，打造100亿元级循环经济产业集群和100亿元级先进装备制造产业集群。</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创新驱动能力更足。创新能力显著增强，科技创新体制机制更加健全，关键核心技术实现重大突破，科技成果转化和产业化明显加快，全县研发投入强度显著提高，高新技术企业和创新机构位居全省县域前列</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科技创新能力显著增强，高新技术产业实现跨越式发展，科技进步对经济增长的贡献率走在全市前列。</w:t>
      </w:r>
      <w:r>
        <w:rPr>
          <w:rFonts w:hint="eastAsia" w:ascii="仿宋_GB2312" w:hAnsi="仿宋_GB2312" w:eastAsia="仿宋_GB2312" w:cs="仿宋_GB2312"/>
          <w:sz w:val="32"/>
          <w:szCs w:val="32"/>
          <w:lang w:eastAsia="zh-CN"/>
        </w:rPr>
        <w:t>全民科学素质整体水平与全民建成小康社会的要求相适应。</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放引领格局更大。开放领域全面拓展、开放平台更加多元、开放效应持续放大，内需潜力充分释放，各项改革取得新突破，营商环境进一步优化，高水平市场体系基本建成，物流通道枢纽优势更加彰显，新发展格局的枢纽和地位全面确立，打造河南的出海口、连接长三角经济圈的“桥头堡”，有效融入“一带一路”水运港口码头体系建成“中原港城”重要的支点，开放型经济体系基本形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先进文化发展更盛。社会主义核心价值观深入人心，人民思想道德素质、科学文化素质和身心健康素质明显提高，公共文化服务体系更加健全，人民精神文化生活日益丰富；文化产业创新取得重大成效，中原文化、农耕文化得到传承发展，文化创意、文化旅游、文化娱乐新业态呈现融合发展新局面，文化旅游强县建设迈出坚实步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态环境建设更优。生态文明制度体系基本建成，人与自然和谐共生的国土空间开发保护格局得到优化，生态屏障和生态廊道功能显著增强，生产生活方式绿色转型成效显著，能源资源配置更加合理、利用效率大幅提高，主要污染物排放总量持续减少，生态环境突出问题基本消除，城乡人居环境明显改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民生福祉保障更实。实现更加充分更高质量就业，居民收入增长和经济增长基本同步；基本公共服务均等化水平明显提高，全民受教育程度不断提升，教育优质均衡水平全市领先；多层次社会保障体系更加健全，卫生健康体系更加完善，脱贫攻坚成果巩固拓展，乡村振兴战略全面推进，在产业富民和乡村建设行动上实现更大突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治理效能更高。社会主义民主法治更加健全，社会公平正义进一步彰显，政府作用更好发挥，行政效率和公信力显著提升，社会治理特别是基层治理水平明显提高，防范化解重大风险体制机制不断健全，突发公共事件应急能力显著增强，自然灾害防御水平明显提升，发展安全保障更加有力，安全发展环境不断优化。</w:t>
      </w:r>
    </w:p>
    <w:p>
      <w:pPr>
        <w:pStyle w:val="2"/>
        <w:rPr>
          <w:rFonts w:hint="eastAsia"/>
        </w:rPr>
      </w:pPr>
    </w:p>
    <w:tbl>
      <w:tblPr>
        <w:tblStyle w:val="26"/>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3"/>
        <w:gridCol w:w="1150"/>
        <w:gridCol w:w="1981"/>
        <w:gridCol w:w="1250"/>
        <w:gridCol w:w="1399"/>
        <w:gridCol w:w="1281"/>
        <w:gridCol w:w="1250"/>
        <w:gridCol w:w="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8994" w:type="dxa"/>
            <w:gridSpan w:val="7"/>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专栏2  “十四五”经济社会发展规划主要目标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3814" w:type="dxa"/>
            <w:gridSpan w:val="3"/>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指   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2020年</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基数</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2025年</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指标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年增长（%）</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属性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000" w:type="dxa"/>
            <w:gridSpan w:val="8"/>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一、经济发展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地区生产总值增长率（%）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1.5</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6.5左右</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全员劳动生产率增长率（%）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&gt;5.5</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制造业增加值率升幅（%）</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0.8</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常住人口城镇化率（%）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39.88</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社会消费品零售总额增长（%）</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-4.2</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7.0左右</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实际使用外资名义增长率（%）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7.8</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外贸进出口总额（万元）</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124663</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000" w:type="dxa"/>
            <w:gridSpan w:val="8"/>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二、创新驱动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研发经费投入强度（%）</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0.39</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每万人口拥有高价值发明专利数（件）</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数字经济核心产业增加值占GDP比重（%）</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000" w:type="dxa"/>
            <w:gridSpan w:val="8"/>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三、民生福祉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967"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居民人均可支配收入增长率（%）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4.4</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与经济增长基本同步</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50"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城镇就业</w:t>
            </w:r>
          </w:p>
        </w:tc>
        <w:tc>
          <w:tcPr>
            <w:tcW w:w="19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城镇</w:t>
            </w:r>
            <w:r>
              <w:rPr>
                <w:rFonts w:hint="eastAsia" w:ascii="仿宋_GB2312" w:hAnsi="仿宋_GB2312" w:eastAsia="仿宋_GB2312" w:cs="仿宋_GB2312"/>
                <w:sz w:val="24"/>
                <w:szCs w:val="24"/>
                <w:lang w:eastAsia="zh-CN"/>
              </w:rPr>
              <w:t>新</w:t>
            </w:r>
            <w:r>
              <w:rPr>
                <w:rFonts w:hint="eastAsia" w:ascii="仿宋_GB2312" w:hAnsi="仿宋_GB2312" w:eastAsia="仿宋_GB2312" w:cs="仿宋_GB2312"/>
                <w:sz w:val="24"/>
                <w:szCs w:val="24"/>
              </w:rPr>
              <w:t>增就业人数（人）</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4.3</w:t>
            </w:r>
            <w:r>
              <w:rPr>
                <w:rFonts w:hint="eastAsia" w:ascii="仿宋_GB2312" w:hAnsi="仿宋_GB2312" w:eastAsia="仿宋_GB2312" w:cs="仿宋_GB2312"/>
                <w:sz w:val="24"/>
                <w:szCs w:val="24"/>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4.5</w:t>
            </w:r>
            <w:r>
              <w:rPr>
                <w:rFonts w:hint="eastAsia" w:ascii="仿宋_GB2312" w:hAnsi="仿宋_GB2312" w:eastAsia="仿宋_GB2312" w:cs="仿宋_GB2312"/>
                <w:sz w:val="24"/>
                <w:szCs w:val="24"/>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50"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9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城镇调查失业率（%）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人均预期寿命（岁）</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77.3</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967" w:hRule="atLeast"/>
        </w:trPr>
        <w:tc>
          <w:tcPr>
            <w:tcW w:w="683"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50" w:type="dxa"/>
            <w:vMerge w:val="restart"/>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每千人口卫生技术人员数</w:t>
            </w:r>
          </w:p>
        </w:tc>
        <w:tc>
          <w:tcPr>
            <w:tcW w:w="19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每千人口拥有执业助理医师数（人）</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2.54</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150" w:type="dxa"/>
            <w:vMerge w:val="continue"/>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9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每千人口注册护士数（人）</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2.48</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劳动年龄人口平均受教育年限（年）</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每千人口拥有3岁以下婴幼儿托位数（个）</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17</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基本养老保险参保率（%）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99</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000" w:type="dxa"/>
            <w:gridSpan w:val="8"/>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四、绿色生态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18</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单位GDP能源消耗降幅（%）</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按市</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下达目标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19</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单位GDP二氧化碳排放降低（%）</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14.9</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按市</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下达目标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20</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空气质量优良天数比率（%）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74</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按市</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下达目标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达到或好于III水体占地表水比例（%）</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按市</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下达目标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648"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林木</w:t>
            </w:r>
            <w:r>
              <w:rPr>
                <w:rFonts w:hint="eastAsia" w:ascii="仿宋_GB2312" w:hAnsi="仿宋_GB2312" w:eastAsia="仿宋_GB2312" w:cs="仿宋_GB2312"/>
                <w:sz w:val="24"/>
                <w:szCs w:val="24"/>
              </w:rPr>
              <w:t>覆盖率（%）</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23.8</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按市</w:t>
            </w:r>
          </w:p>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下达目标</w:t>
            </w: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9000" w:type="dxa"/>
            <w:gridSpan w:val="8"/>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五、安全保障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74" w:hRule="atLeast"/>
        </w:trPr>
        <w:tc>
          <w:tcPr>
            <w:tcW w:w="683"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23</w:t>
            </w:r>
          </w:p>
        </w:tc>
        <w:tc>
          <w:tcPr>
            <w:tcW w:w="3131" w:type="dxa"/>
            <w:gridSpan w:val="2"/>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粮食综合生产能力（亿斤）</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22</w:t>
            </w:r>
          </w:p>
        </w:tc>
        <w:tc>
          <w:tcPr>
            <w:tcW w:w="1399"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281"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w:t>
            </w:r>
          </w:p>
        </w:tc>
        <w:tc>
          <w:tcPr>
            <w:tcW w:w="1250" w:type="dxa"/>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预期性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84" w:hRule="atLeast"/>
        </w:trPr>
        <w:tc>
          <w:tcPr>
            <w:tcW w:w="8994" w:type="dxa"/>
            <w:gridSpan w:val="7"/>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注：1、2020年基数为初步预计数；2、[]内数据为五年规划期累计数。</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3" w:name="_Toc2853"/>
      <w:bookmarkStart w:id="24" w:name="_Toc77152088"/>
      <w:r>
        <w:rPr>
          <w:rFonts w:hint="eastAsia" w:ascii="黑体" w:hAnsi="黑体" w:eastAsia="黑体" w:cs="黑体"/>
          <w:sz w:val="32"/>
          <w:szCs w:val="32"/>
        </w:rPr>
        <w:t>第四章  发展定位</w:t>
      </w:r>
      <w:bookmarkEnd w:id="23"/>
      <w:bookmarkEnd w:id="2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全国粮食生产核心示范区。依托国家粮食生产核心区建设，重在“示范”上下功夫，打造农业科技创新示范园区、产业融合发展示范平台、产业化集群示范基地、新型农业经营组织示范模式、农村改革示范样板，在确保国家粮食安全、推动农业高质量发展方面有更大的担当作为。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纺织印染全产业链创新示范区。依托我县印染产业园建设及纺织工业扎实基础，加快工业与信息化深度融合，促进印染行业产业结构调整和转型升级，构建“纺纱-织布-印染-服装-研发-设计-智能化服务”全产业链条，形成300亿元级产业集群，打造引领中部地区纺织工业绿色化智能化转型示范基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农副产品加工示范区。以供给侧结构性改革为主线，以高端化、绿色化、智能化、融合化为方向，坚持重点发力与全面推进向结合，以牧原食品、普爱饲料、正大饲料、海创饲料、朗丽食品、周家口食品等为依托，大力发展农副食品加工产业集群，在100亿元基础上，到“十四五”末，发展到200亿元级产业集群，到2035年，争取达到500亿元级产业集群，打造全国农副产品加工示范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乡村产业富民示范区。壮大练集渔网编织产业，打造“全国生态渔网之乡”；支持白寺板材、胡吉文印、城关乡花卉、平店玫瑰、张庄苗圃等特色产业发展，努力形成“一乡一品”的发展格局。积极推进5.7万亩的“守望麦田、金色家园”田园综合体项目，打造农业与文化、旅游融合发展的田园综合体，带动一二三产融合，加快实现强县与富民相统一，让农业强起来、农村美起来、农民富起来。</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5" w:name="_Toc77152089"/>
      <w:bookmarkStart w:id="26" w:name="_Toc26548"/>
      <w:r>
        <w:rPr>
          <w:rFonts w:hint="eastAsia" w:ascii="黑体" w:hAnsi="黑体" w:eastAsia="黑体" w:cs="黑体"/>
          <w:sz w:val="32"/>
          <w:szCs w:val="32"/>
        </w:rPr>
        <w:t>第五章  战略重点和路径</w:t>
      </w:r>
      <w:bookmarkEnd w:id="25"/>
      <w:bookmarkEnd w:id="2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突出一个战略主线：就是突出高质量发展。以改革开放创新为根本动力，以城乡贯通为基本途径，以强县富民为目标导向，高水平建设农村改革试验区、营商环境创新实验区、民营经济“两个健康”发展示范区、国家粮食生产核心示范区、“飞地”合作试验区、产业创新示范区、城乡融合示范区，力争在周口市乃至全省县域经济发展中走在前列。</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立足一个战略基点：坚持扩大内需这个战略基点。以补齐短板扩大有效投资，聚焦新型城镇化、乡村振兴、基础设施、生态环保、民生改善等重点领域，滚动实施重大工程项目，健全土地、能源、资金、环境容量等要素资源的综合协调保障机制，推进项目实施，增强发展后劲。以提升供给创造消费需求。适应消费数字化、品质化、个性化、多元化趋势，积极发展在线经济、宅经济、夜经济，拓展丰富消费场景，提高优质供给能力，促进供需在更高水平上良性循环。完善互联网+消费生态体系，推动传统零售、传统服务和渠道电商资源整合，加快建设智慧商超、智慧街区、智慧商圈和智慧体验馆，大力发展无人零售、直播销售等消费新模式，促进线上线下互动、商旅文体协同。推进以大数据捕捉新需求，积极培育信息、时尚、体验等新兴消费热点，促进家政、康养、托育、文旅、培训、体育等服务提质扩容。以居民增收提升消费能力。加强职业技能培训，以高质量充分就业促增收保民生，促进新型职业农民、大学毕业生等进入中等收入群体。拓宽低收入群体增收渠道，落实企业最低工资保障制度，促进农民经营性、财产性、转移性收入稳定增长，形成增加收入促进消费的良性循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实施四大战略：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业引领。立足商水现有产业发展基础，加快转型升级步伐，推动产业链再造和价值链提升，以构建纺织工业全产业链为主攻方向，打造引领全国的绿色化、智能化纺织工业转型的示范基地。以牧原食品为龙头，变生猪调出大县为生猪养殖加工销售一体化生产大县。以国家粮食生产核心区建设为目标，巩固产粮大县地位，大力发展优质特色农业，加快构建互融互促、高质高效的现代产业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放带动。强化政府服务意识，持续优化营商环境，保障更具活力的创新创业环境、保障开放便利的投资贸易环境、保障宽松有序的企业经营环境、保障竞争高效的市场环境。重点推动产业链招商、新产业培育、新业态引进、技术和人才合作、资本合作，建设豫东开放高地，开拓发展新空间，构建全方位、深层次、高水平的开放格局。</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融合优先。按照周商同城发展的方向，加快推进与周口中心城区一体化，推进空间规划、基础设施、生态环境、产业布局、公共服务等方面的融接，构建优势互补、产业协同、区域联动的发展格局，更好地承担中心城市外溢和组团区功能，建成周商同城发展副中心，完善新型城镇化体系，促进城乡融合、产城融合高质量发展。发挥漯阜铁路、公路、商水港组成的综合交通优势，积极融入周口“临港经济”发展战略，着力推进区域资源集聚、物流功能完备、设施衔接高效、信息互通共享、内外网络畅通等重大工程建设，形成“公铁水网”四位一体多式联运网络，筑成全省重要的区域性综合物流枢纽和临港产业集聚平台，把物流枢纽建设成为带动商水更加出彩的全新动力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城乡均衡。按照县域治理“三起来”的重大要求，统筹城乡发展，做到人力、物力、财力和智力的统筹安排和协调，建立健全统筹城乡的社会保障体制，完善统筹城乡的社会公共服务体系，加快推进城乡产业融合、基础设施贯通、生态环境共建，使城乡居民享受到均等的基本公共服务，实现城乡居民共同富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五个区域中心平台：即以产业集聚区、商务中心区为龙头，打造开放合作平台；以“互联网+双创示范基地”为依托，打造产业创新服务平台；以现代农业产业园和“巧媳妇”工程为载体，打造农村产业融合发展示范平台；以人才、技术、金融、产权市场为支撑，打造要素市场化配置平台；以数字化赋能为引领，打造公共管理服务平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六项突破性举措：即在推进农村“三变”上取得新突破，在投融资平台公司创新发展上取得新突破，在全方位宽领域开放合作上取得新突破，在人才队伍建设和人力资源开发上取得新突破，在优化营商环境上取得新突破，在社会治理体系建设上取得新突破。</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构建八个重大体系。即现代经济体系，现代市场体系、现代农业体系，城乡融合发展体系，先进文化体系，现代生态文明体系，现代公共服务体系，公共安全保障体系。</w:t>
      </w:r>
    </w:p>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27" w:name="_Toc21540"/>
      <w:bookmarkStart w:id="28" w:name="_Toc77152090"/>
      <w:r>
        <w:rPr>
          <w:rFonts w:hint="eastAsia" w:ascii="黑体" w:hAnsi="黑体" w:eastAsia="黑体" w:cs="黑体"/>
          <w:sz w:val="32"/>
          <w:szCs w:val="32"/>
        </w:rPr>
        <w:t>第二篇  深入实施创新驱动战略</w:t>
      </w:r>
      <w:bookmarkEnd w:id="27"/>
      <w:bookmarkEnd w:id="2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更加积极有效地实施创新驱动发展战略，依托优势产业、骨干企业和创新机构、创新平台，加大招商引技、引智和技术合作力度，大力发展高新技术产业，加快先进实用技术推广应用，把商水建成中原城市群纺织工业创新发展示范基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9" w:name="_Toc21543"/>
      <w:bookmarkStart w:id="30" w:name="_Toc77152091"/>
      <w:r>
        <w:rPr>
          <w:rFonts w:hint="eastAsia" w:ascii="黑体" w:hAnsi="黑体" w:eastAsia="黑体" w:cs="黑体"/>
          <w:sz w:val="32"/>
          <w:szCs w:val="32"/>
        </w:rPr>
        <w:t>第六章  增强创新平台和载体支撑</w:t>
      </w:r>
      <w:bookmarkEnd w:id="29"/>
      <w:bookmarkEnd w:id="3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实施科教强县行动，强化要素集聚、资源共享、载体联动，积极融入郑洛新国家自主创新示范区、郑开科创走廊，充分激活高质量发展动力。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1" w:name="_Toc77152092"/>
      <w:bookmarkStart w:id="32" w:name="_Toc24855"/>
      <w:bookmarkStart w:id="33" w:name="_Toc7184"/>
      <w:r>
        <w:rPr>
          <w:rFonts w:hint="eastAsia" w:ascii="楷体_GB2312" w:hAnsi="楷体_GB2312" w:eastAsia="楷体_GB2312" w:cs="楷体_GB2312"/>
          <w:b/>
          <w:bCs/>
          <w:sz w:val="32"/>
          <w:szCs w:val="32"/>
        </w:rPr>
        <w:t>第一节  引进培育重大科技创新平台</w:t>
      </w:r>
      <w:bookmarkEnd w:id="31"/>
      <w:bookmarkEnd w:id="3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抢抓国家、省优化区域创新布局机遇，争取国家、省重点实验室和工程技术研究中心等平台布局，填补关键领域重大创新平台空白，重点为围绕战略性新兴产业、高技术制造业及传统产业智能化改造等领域，完善研发平台梯次培育机制，加快建设一批制造业创新中心（工业技术研究基地）、工程技术研究中心、重点实验室、企业技术中心等创新引领型平台，实现市级以上研发平台大中型工业企业全覆盖，深化与高校和科研院所的合作，争取在商水设立分支机构和研发中心，探索推广多元投入和市场化管理运行机制，大力培育和引进产业技术研究院等新型研发机构，鼓励创新型龙头企业将内设工程技术研究中心、重点实验室等独立运营，面向产业开展共性关键技术研发和产业服务。鼓励引导产业技术创新战略联盟法人化经营转变为实行专业化和市场化运作的新型研发机构，打造高水平的纺织服装和农副产品深加工产业研发中心建设，积极培育市场化新型研发组织、研发中介和研发服务外包等新业态。</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4" w:name="_Toc15502"/>
      <w:bookmarkStart w:id="35" w:name="_Toc77152093"/>
      <w:r>
        <w:rPr>
          <w:rFonts w:hint="eastAsia" w:ascii="楷体_GB2312" w:hAnsi="楷体_GB2312" w:eastAsia="楷体_GB2312" w:cs="楷体_GB2312"/>
          <w:b/>
          <w:bCs/>
          <w:sz w:val="32"/>
          <w:szCs w:val="32"/>
        </w:rPr>
        <w:t>第二节  提升创新载体功能</w:t>
      </w:r>
      <w:bookmarkEnd w:id="34"/>
      <w:bookmarkEnd w:id="3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争取纳入郑洛新国家自主创新示范区辐射区或辐射点建设范围，更好享受国家自创区政策支持，引领带动全县科技创新水平的整体提升，加快推进商水产业集聚区、国家级资源循环利用基地优化创新要素配置，积极发展异地孵化、伙伴园区等多种合作模式，壮大科技企业孵化器规模，支持产业集聚区建设专业孵化载体，营造大众创业、万众创新的浓厚氛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6" w:name="_Toc7368"/>
      <w:bookmarkStart w:id="37" w:name="_Toc26566"/>
      <w:bookmarkStart w:id="38" w:name="_Toc77152094"/>
      <w:r>
        <w:rPr>
          <w:rFonts w:hint="eastAsia" w:ascii="黑体" w:hAnsi="黑体" w:eastAsia="黑体" w:cs="黑体"/>
          <w:sz w:val="32"/>
          <w:szCs w:val="32"/>
        </w:rPr>
        <w:t xml:space="preserve">第七章  </w:t>
      </w:r>
      <w:bookmarkEnd w:id="36"/>
      <w:r>
        <w:rPr>
          <w:rFonts w:hint="eastAsia" w:ascii="黑体" w:hAnsi="黑体" w:eastAsia="黑体" w:cs="黑体"/>
          <w:sz w:val="32"/>
          <w:szCs w:val="32"/>
        </w:rPr>
        <w:t>强化企业创新主体地位</w:t>
      </w:r>
      <w:bookmarkEnd w:id="37"/>
      <w:bookmarkEnd w:id="3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完善企业创新引导促进和梯次培育机制，加快生产组织创新、技术创新和市场创新，促进各类创新要素向企业集聚。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9" w:name="_Toc77152095"/>
      <w:bookmarkStart w:id="40" w:name="_Toc8184"/>
      <w:r>
        <w:rPr>
          <w:rFonts w:hint="eastAsia" w:ascii="楷体_GB2312" w:hAnsi="楷体_GB2312" w:eastAsia="楷体_GB2312" w:cs="楷体_GB2312"/>
          <w:b/>
          <w:bCs/>
          <w:sz w:val="32"/>
          <w:szCs w:val="32"/>
        </w:rPr>
        <w:t>第一节  培育壮大创新企业群体</w:t>
      </w:r>
      <w:bookmarkEnd w:id="39"/>
      <w:bookmarkEnd w:id="4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创新型龙头企业树标引领计划，建立分层次培育标准和动态调整机制，重点培育2家“瞪羚”企业和2家创新龙头企业，力争拥现1家“独角兽”（培育）企业；实施实施高新技术企业倍增计划，瞄准国家制造业单项冠军示范（培育）企业、创新龙头企业、高新技术企业、“科技小巨人”企业、质量标杆企业，力争高新技术企业突破30家；实施科技型中小企业春笋计划，完善孵化培育和创新能力评估机制，争取科技型中小企业达到30家，形成以创新型龙头企业为引领、高技术企业为骨干、科技型中小企业为生力军的全链条创新型企业集群。支持企业间战略合作和跨行业、跨区域兼并重组，提高规模化、集约化经营水平，培育3-5核心竞争力强的企业集团，引导大企业与中小企业通过专业分工、服务外包、订单生产等多种方式，实现协同创新、合作共赢发展局面。</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1" w:name="_Toc12742"/>
      <w:bookmarkStart w:id="42" w:name="_Toc77152096"/>
      <w:r>
        <w:rPr>
          <w:rFonts w:hint="eastAsia" w:ascii="楷体_GB2312" w:hAnsi="楷体_GB2312" w:eastAsia="楷体_GB2312" w:cs="楷体_GB2312"/>
          <w:b/>
          <w:bCs/>
          <w:sz w:val="32"/>
          <w:szCs w:val="32"/>
        </w:rPr>
        <w:t>第二节  引导企业加大研发投入</w:t>
      </w:r>
      <w:bookmarkEnd w:id="41"/>
      <w:bookmarkEnd w:id="4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政府引导、企业主体、社会参与的协同研发投入机制，加大企业研发后补助、研发准备金、研发风险分担、科技创新券等财政奖补力度，落实企业投入基础研究税收优惠、研发费用加计扣除、创新产品政府优先采购等普惠性政策，增强企业创新活力，发挥企业家推动生产组织创新、技术创新、市场创新的重要作用。支持企业采取多种方式建设重点实验室、工程研究中心、企业技术中心等研发平台，推进产学研深度融合，支持企业牵头组建创新联合体，承担国家省重大科技项目、创新能力建设专项、关键核心技术攻关专项，加强共性技术平台建设，推动产业链上下游大中小企业融通创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3" w:name="_Toc21853"/>
      <w:bookmarkStart w:id="44" w:name="_Toc7123"/>
      <w:bookmarkStart w:id="45" w:name="_Toc77152097"/>
      <w:r>
        <w:rPr>
          <w:rFonts w:hint="eastAsia" w:ascii="黑体" w:hAnsi="黑体" w:eastAsia="黑体" w:cs="黑体"/>
          <w:sz w:val="32"/>
          <w:szCs w:val="32"/>
        </w:rPr>
        <w:t>第八章  强化科技创新人才支撑</w:t>
      </w:r>
      <w:bookmarkEnd w:id="43"/>
      <w:bookmarkEnd w:id="44"/>
      <w:bookmarkEnd w:id="4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坚持尊重劳动、尊重知识、尊重人才、尊重创造，深化人才发展体制机制改革，统筹各类人才队伍发展，全方位培养引进用好人才，激发人才创新活力，加快建设人才强县。</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6" w:name="_Toc1792"/>
      <w:bookmarkStart w:id="47" w:name="_Toc77152098"/>
      <w:r>
        <w:rPr>
          <w:rFonts w:hint="eastAsia" w:ascii="楷体_GB2312" w:hAnsi="楷体_GB2312" w:eastAsia="楷体_GB2312" w:cs="楷体_GB2312"/>
          <w:b/>
          <w:bCs/>
          <w:sz w:val="32"/>
          <w:szCs w:val="32"/>
        </w:rPr>
        <w:t>第一节  加强人才培养开发</w:t>
      </w:r>
      <w:bookmarkEnd w:id="46"/>
      <w:bookmarkEnd w:id="4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英才计划”，加强创新型、应用型、技能型人才培养，构建从研发、转化、生产到管理的人才体系，强化教育与产业对接、专业和职业对接，健全高校人才分类培养机制，扩大高层次人才培养规模，鼓励企业与省内外高校合作，培养战略性新兴产业、数字经济等领域急需的科研人员、技术技能型人才和复合型人才。实施知识更新工程和技能提升行动，持续推进全民技能振兴工程和高技能人才振兴计划，壮大高水平工程师和高技能人才队伍。实施创新型科技人才培养工程，依托创新平台和重大项目建设，探索“人才+团队+基金”模式，培养一批有基础、有潜力、研究方向明确的高水平创新团队。弘扬企业家精神，营造企业家健康成长环境，实施民营企业家和新生代企业家培养计划，形成领军企业家、骨干企业家和成长型企业家的优秀企业家雁阵。</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8" w:name="_Toc26260"/>
      <w:bookmarkStart w:id="49" w:name="_Toc77152099"/>
      <w:r>
        <w:rPr>
          <w:rFonts w:hint="eastAsia" w:ascii="楷体_GB2312" w:hAnsi="楷体_GB2312" w:eastAsia="楷体_GB2312" w:cs="楷体_GB2312"/>
          <w:b/>
          <w:bCs/>
          <w:sz w:val="32"/>
          <w:szCs w:val="32"/>
        </w:rPr>
        <w:t>第二节  更大力度引进人才</w:t>
      </w:r>
      <w:bookmarkEnd w:id="48"/>
      <w:bookmarkEnd w:id="4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招才引智”，全面落实人才引进政策，重点突出高层次产业创新领军人才、高层次科技创新团队和青年人才。培养引进一批科技创新人才创新团队，完善“全职+柔性”引才引智机制，鼓励通过兼职、挂职、技术咨询、项目合作、周末教授等方式汇聚人才智力资源。建立健全引才目录，完善各类人才信息库，积极参与国内外重大招才引智活动，多种方式招聘各类优秀人才，鼓励企业实行股权、期权、分红等激励措施，全面增强对高端人才的吸引力和汇聚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50" w:name="_Toc19795"/>
      <w:bookmarkStart w:id="51" w:name="_Toc77152100"/>
      <w:r>
        <w:rPr>
          <w:rFonts w:hint="eastAsia" w:ascii="楷体_GB2312" w:hAnsi="楷体_GB2312" w:eastAsia="楷体_GB2312" w:cs="楷体_GB2312"/>
          <w:b/>
          <w:bCs/>
          <w:sz w:val="32"/>
          <w:szCs w:val="32"/>
        </w:rPr>
        <w:t>第三节  深化人才体制机制改革</w:t>
      </w:r>
      <w:bookmarkEnd w:id="50"/>
      <w:bookmarkEnd w:id="5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以创新能力、质量、实效、贡献为导向的科技人才评价体系，全面落实企事业单位用人自主权和评价自主权，推行第三方人才评价，扩大职称自主评审范围，畅通全覆盖的专业技术人员职称申报渠道，推进社会化职称评审，建立科研单位绩效工资总量动态调整机制和竞争性科研项目奖酬金提取机制，完善科研人员职务发明成果权益分享机制。完善工资、医疗待遇、职称评定、养老保障、人才评价激励机制等政策和服务保障体系，营造有利于人才脱颖而出的社会环境。保障人才以知识、技能、管理等创新要素参与利益分配，强化对人才的物质和精神激励。</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52" w:name="_Toc8145"/>
      <w:bookmarkStart w:id="53" w:name="_Toc77152101"/>
      <w:r>
        <w:rPr>
          <w:rFonts w:hint="eastAsia" w:ascii="黑体" w:hAnsi="黑体" w:eastAsia="黑体" w:cs="黑体"/>
          <w:sz w:val="32"/>
          <w:szCs w:val="32"/>
        </w:rPr>
        <w:t>第九章  大力实施产业创新发展战略</w:t>
      </w:r>
      <w:bookmarkEnd w:id="33"/>
      <w:bookmarkEnd w:id="52"/>
      <w:bookmarkEnd w:id="5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坚持市场导向，促进产业链与创新链精准对接，畅通价值链，跃升关键环节，提高创新链整体效能。</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54" w:name="_Toc3732"/>
      <w:bookmarkStart w:id="55" w:name="_Toc77152102"/>
      <w:r>
        <w:rPr>
          <w:rFonts w:hint="eastAsia" w:ascii="楷体_GB2312" w:hAnsi="楷体_GB2312" w:eastAsia="楷体_GB2312" w:cs="楷体_GB2312"/>
          <w:b/>
          <w:bCs/>
          <w:sz w:val="32"/>
          <w:szCs w:val="32"/>
        </w:rPr>
        <w:t>第一节  加强关键技术研发攻关</w:t>
      </w:r>
      <w:bookmarkEnd w:id="54"/>
      <w:bookmarkEnd w:id="5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聚焦重点产业发展方向，建立重大创新需求公开征集，制定实施关键核心技术攻关清单，整合部门、企业、新型研发机构、行业协会等各方力量，强化与高校、科研机构对接合作，采用“揭榜挂帅”等组织方式，集中力量在纺织服装、农副产品、智能制造等产业领域突破一批关键核心技术、共性技术、形成一批重大科技成果，加快科技成果产业化进程。发挥饲料微生物工程技术研究中心、动物研究和疾病检测中心、饲料原料化验检测中心、河南省凿岩纤具工程技术研究中心功能，积极承接国家、省重大重点科技计划，实施市级以上重大科技专项，支持具备条件的企业在5G、节能环保、数字技术等领域，建设研发平台，实现关键技术应用创新。“十四五”末，力争战略新兴产业和高新技术产业增加值占比达到30%以上。</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56" w:name="_Toc24645"/>
      <w:bookmarkStart w:id="57" w:name="_Toc77152103"/>
      <w:r>
        <w:rPr>
          <w:rFonts w:hint="eastAsia" w:ascii="楷体_GB2312" w:hAnsi="楷体_GB2312" w:eastAsia="楷体_GB2312" w:cs="楷体_GB2312"/>
          <w:b/>
          <w:bCs/>
          <w:sz w:val="32"/>
          <w:szCs w:val="32"/>
        </w:rPr>
        <w:t>第二节  促进科技成果转化</w:t>
      </w:r>
      <w:bookmarkEnd w:id="56"/>
      <w:bookmarkEnd w:id="5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科技成果转化运行机制，搭建科技成果转化平台，健全以技术交易市场为核心的技术转移和产业化服务体系，努力解决成果转化市场应用“最后一公里”。完善科技成果转化激励机制，推动科技成果使用、处置和收益管理改革，健全科技成果科学评估和市场定价机制，引导政产学研用金加强合作，推进建立区域性科技大市场，鼓励企业与社会资本建立一批从事技术集成、熟化和工程化的中试基地，设立科技成果转化基金，培育发展技术转移机构和技术经理人，加速科技成果转化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58" w:name="_Toc24371"/>
      <w:bookmarkStart w:id="59" w:name="_Toc77152104"/>
      <w:r>
        <w:rPr>
          <w:rFonts w:hint="eastAsia" w:ascii="黑体" w:hAnsi="黑体" w:eastAsia="黑体" w:cs="黑体"/>
          <w:sz w:val="32"/>
          <w:szCs w:val="32"/>
        </w:rPr>
        <w:t>第十章  构建良好的创新生态</w:t>
      </w:r>
      <w:bookmarkEnd w:id="58"/>
      <w:bookmarkEnd w:id="5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深化科技创新体制机制改革，完善开放创新合作机制，营造崇尚创新、鼓励创新、宽容失败的社会氛围。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60" w:name="_Toc23705"/>
      <w:bookmarkStart w:id="61" w:name="_Toc30505"/>
      <w:bookmarkStart w:id="62" w:name="_Toc77152105"/>
      <w:r>
        <w:rPr>
          <w:rFonts w:hint="eastAsia" w:ascii="楷体_GB2312" w:hAnsi="楷体_GB2312" w:eastAsia="楷体_GB2312" w:cs="楷体_GB2312"/>
          <w:b/>
          <w:bCs/>
          <w:sz w:val="32"/>
          <w:szCs w:val="32"/>
        </w:rPr>
        <w:t>第一节  健全创新发展体制机制</w:t>
      </w:r>
      <w:bookmarkEnd w:id="60"/>
      <w:bookmarkEnd w:id="61"/>
      <w:bookmarkEnd w:id="6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优化科技规划体系和运行机制，推动重点领域项目、基地、人才、资金一体化配置。强化科技计划立项、组织管理等顶层设计，构建布局合理、定位清晰具有商水特色的科技计划体系。建立科技咨询支撑行政决策的科技决策机制，更好发挥科技智库和专业研究机构作用。建立健全科技创新基础制度，加快政府职能从研发管理向创新服务转变深化，以增加知识价值为导向分配政策，赋予创新领军人才更大技术路线决定权和经费使用权，推行重大科技专项首席专家负责制，激发科技人才自主创新主动性、积极性。弘扬科学精神，强化</w:t>
      </w:r>
      <w:r>
        <w:rPr>
          <w:rFonts w:hint="eastAsia" w:ascii="仿宋_GB2312" w:hAnsi="仿宋_GB2312" w:eastAsia="仿宋_GB2312" w:cs="仿宋_GB2312"/>
          <w:sz w:val="32"/>
          <w:szCs w:val="32"/>
          <w:lang w:eastAsia="zh-CN"/>
        </w:rPr>
        <w:t>新时代</w:t>
      </w:r>
      <w:r>
        <w:rPr>
          <w:rFonts w:hint="eastAsia" w:ascii="仿宋_GB2312" w:hAnsi="仿宋_GB2312" w:eastAsia="仿宋_GB2312" w:cs="仿宋_GB2312"/>
          <w:sz w:val="32"/>
          <w:szCs w:val="32"/>
        </w:rPr>
        <w:t>科普工作，</w:t>
      </w:r>
      <w:r>
        <w:rPr>
          <w:rFonts w:hint="eastAsia" w:ascii="仿宋_GB2312" w:hAnsi="仿宋_GB2312" w:eastAsia="仿宋_GB2312" w:cs="仿宋_GB2312"/>
          <w:sz w:val="32"/>
          <w:szCs w:val="32"/>
          <w:lang w:eastAsia="zh-CN"/>
        </w:rPr>
        <w:t>不断激发大众创业、万众创新的热情和潜力。“十四五”期间，建成省级、市级科普教育基地不少于</w:t>
      </w:r>
      <w:r>
        <w:rPr>
          <w:rFonts w:hint="eastAsia" w:ascii="仿宋_GB2312" w:hAnsi="仿宋_GB2312" w:eastAsia="仿宋_GB2312" w:cs="仿宋_GB2312"/>
          <w:sz w:val="32"/>
          <w:szCs w:val="32"/>
          <w:lang w:val="en-US" w:eastAsia="zh-CN"/>
        </w:rPr>
        <w:t>3个。提升科普服务能力，县级科普专家达到20名，农村和社区科普人员达到200名，科普志愿者达到500名。</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63" w:name="_Toc13125"/>
      <w:bookmarkStart w:id="64" w:name="_Toc77152106"/>
      <w:r>
        <w:rPr>
          <w:rFonts w:hint="eastAsia" w:ascii="楷体_GB2312" w:hAnsi="楷体_GB2312" w:eastAsia="楷体_GB2312" w:cs="楷体_GB2312"/>
          <w:b/>
          <w:bCs/>
          <w:sz w:val="32"/>
          <w:szCs w:val="32"/>
        </w:rPr>
        <w:t>第二节  完善企业创新服务体系</w:t>
      </w:r>
      <w:bookmarkEnd w:id="63"/>
      <w:bookmarkEnd w:id="6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改革政府出资产业投资基金管理机制，建立种子期、初创期企业投资融资和政府让利机制，打造覆盖募投管退全流程服务链条。完善科技金融支持体系，引进培育创业投资和天使投资机构，充分利用多层次资本市场，支持符合条件的科技企业在境内外上市融资，支持重点领域大型科技企业开展产融结合试点，通过融资租赁等方式促进产业转型升级。扩大科技贷和发放科技创新券额度，加强专利权质押贷款协调服务，有效缓解中小企业融资难问题，围绕企业创新需求，打造一站式服务平台，加强科技服务人才培养，逐步实现点对点服务，提高对企业创新的扶持力度。</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65" w:name="_Toc19030"/>
      <w:bookmarkStart w:id="66" w:name="_Toc77152107"/>
      <w:r>
        <w:rPr>
          <w:rFonts w:hint="eastAsia" w:ascii="楷体_GB2312" w:hAnsi="楷体_GB2312" w:eastAsia="楷体_GB2312" w:cs="楷体_GB2312"/>
          <w:b/>
          <w:bCs/>
          <w:sz w:val="32"/>
          <w:szCs w:val="32"/>
        </w:rPr>
        <w:t>第三节  营造良好创新氛围</w:t>
      </w:r>
      <w:bookmarkEnd w:id="65"/>
      <w:bookmarkEnd w:id="6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倡导敬业、精益、专注、宽容失败的创新创业文化，对新产业新业态实行包容审慎监管，促进大众创业万众创新。加强科研诚信和学风建设，健全科技伦理体系。弘扬科学精神，加强科普工作，深入实施全民科学素质行动计划，具备科学素质公民比例提高到15%。强化青少年科学兴趣引导和培养，推进“小小科学家科技创新操作室”建设。</w:t>
      </w:r>
    </w:p>
    <w:p>
      <w:pPr>
        <w:pStyle w:val="2"/>
        <w:rPr>
          <w:rFonts w:hint="eastAsia"/>
        </w:rPr>
      </w:pPr>
    </w:p>
    <w:tbl>
      <w:tblPr>
        <w:tblStyle w:val="26"/>
        <w:tblW w:w="8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9"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专栏3  产业创新发展重大工程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19"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实施产业创新发展工程。聚力打造产业创新平台，充分运用现代网络手段，实现平台管理服务机构、平台服务工作站、重点平台资源单位和专业服务机构之间的互联互通，推进重大产业技术平台开放共享，促进平台资源服务进园区、进企业专题活动。加大平台科技投入力度，支持平台建设单位申请国家和省上平台支撑项目。今后五年研发投入强度高于全省平均水平，到2025年，R&amp;D经费支出占当年地区生产总值比重达到4%左右，企业知识产权和专利技术达到50项。</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实施信息化赋能工程。推进建设15条智能化示范生产线、10家智能工厂（车间）。实施“企业上云”专项行动。引导企业将基础设施、平台系统、业务应用、生产设备向云平台迁移，培育2-3家工业互联网平台、3-5家工业互联网标杆企业、1</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2家“互联网+先进制造业”基地。</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3、实施技术攻关工程。围绕绿色制造、新产品开发，力争突破一批关键核心技术</w:t>
            </w:r>
            <w:r>
              <w:rPr>
                <w:rFonts w:hint="eastAsia" w:ascii="仿宋_GB2312" w:hAnsi="仿宋_GB2312" w:eastAsia="仿宋_GB2312" w:cs="仿宋_GB2312"/>
                <w:sz w:val="24"/>
                <w:szCs w:val="24"/>
                <w:lang w:val="en-US" w:eastAsia="zh-CN"/>
              </w:rPr>
              <w:t>,实施一批</w:t>
            </w:r>
            <w:r>
              <w:rPr>
                <w:rFonts w:hint="eastAsia" w:ascii="仿宋_GB2312" w:hAnsi="仿宋_GB2312" w:eastAsia="仿宋_GB2312" w:cs="仿宋_GB2312"/>
                <w:sz w:val="24"/>
                <w:szCs w:val="24"/>
              </w:rPr>
              <w:t>重大科技项目。</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实施人才引进工程。更有效、更积极、更开放的人才引进政策，加快高层次人才、人才团队、创新机构的引进。“十四五”期间，力争引进创新领军型人才10人、企业高级管理人才20人，引进培养高层次专业技术人才100人。</w:t>
            </w:r>
          </w:p>
        </w:tc>
      </w:tr>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67" w:name="_Toc77152108"/>
      <w:bookmarkStart w:id="68" w:name="_Toc23765"/>
      <w:bookmarkStart w:id="69" w:name="_Toc2471"/>
      <w:r>
        <w:rPr>
          <w:rFonts w:hint="eastAsia" w:ascii="黑体" w:hAnsi="黑体" w:eastAsia="黑体" w:cs="黑体"/>
          <w:sz w:val="32"/>
          <w:szCs w:val="32"/>
        </w:rPr>
        <w:t>第三篇  加快构建现代化产业体系</w:t>
      </w:r>
      <w:bookmarkEnd w:id="67"/>
      <w:bookmarkEnd w:id="68"/>
      <w:bookmarkEnd w:id="6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把制造业高质量发展作为主攻方向，发挥战略性新兴产业引领作用，推动产业基础高级化、产业链现代化，强化现代制造业和现代服务业协同驱动，加快构建实体经济、科技创新、现代金融、人力资源协同发展的现代产业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70" w:name="_Toc77152109"/>
      <w:bookmarkStart w:id="71" w:name="_Toc25465"/>
      <w:r>
        <w:rPr>
          <w:rFonts w:hint="eastAsia" w:ascii="黑体" w:hAnsi="黑体" w:eastAsia="黑体" w:cs="黑体"/>
          <w:sz w:val="32"/>
          <w:szCs w:val="32"/>
        </w:rPr>
        <w:t>第十一章  实施新兴产业链集群提速行动</w:t>
      </w:r>
      <w:bookmarkEnd w:id="70"/>
      <w:bookmarkEnd w:id="7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突出链式集群化，发展锻长板与补短板相结合，做强优势产业、做大新兴产业、做优传统产业，深入推进高端化、智能化、绿色化、服务化改造，打造“3211”先进制造业集群体系，推动商水制造向商水智造、商水速度向商水质量、商水产品向商水品牌转化。</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72" w:name="_Toc77152110"/>
      <w:bookmarkStart w:id="73" w:name="_Toc1432"/>
      <w:r>
        <w:rPr>
          <w:rFonts w:hint="eastAsia" w:ascii="楷体_GB2312" w:hAnsi="楷体_GB2312" w:eastAsia="楷体_GB2312" w:cs="楷体_GB2312"/>
          <w:b/>
          <w:bCs/>
          <w:sz w:val="32"/>
          <w:szCs w:val="32"/>
        </w:rPr>
        <w:t>第一节  把壮大现代产业集群作为主攻方向</w:t>
      </w:r>
      <w:bookmarkEnd w:id="72"/>
      <w:bookmarkEnd w:id="7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重大园区平台建设为抓手，以强龙头、壮骨干、带链条为突破口，以强化服务为保障，建立专班负责、协调联动，要素集聚、政策集成，火力全开、选项突破，按月调度、定期通报的工作机制，立足产业基础和比较优势，塑造“上中下游全连接”、“前中末端强配套”、“产学研用齐协作”的产业生态，着力培育新兴产业链集群，加快形成“3211”现代工业产业集群体系。依托现有产业基础和雅戈尔等创新平台，大力承接东部地区产业转移，突出抓好延链补链强链招商，增强科技研发创新能力，加快形成300亿元级现代纺织印染服装全产业链集群，打造中经济区行业领先的纺织服装产业基地。着力发展高精面粉系列、现代食品系列、生猪屠宰加工系列以及高效生态饲料加工系列产品，培育形成200亿元级高端面粉食品及饲料产业链集群，建成全省重要的生态饲料加工产业区。依托国家级资源循环利用基地，大力发展新型建材、生物质发电、城市“矿产”开发、餐厨垃圾及污泥资源化利用等产业，打造100亿元级循环经济产业集群。做大做强钎具、农机等装备制造产业，推动向高端化智能化拓展，争创驰名品牌，形成100亿元级先进装备制造产业集群。提升木制品、家具产业质量档次，催生一批“高精专特”型企业，推动产业集群化发展。</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74" w:name="_Toc18974"/>
      <w:bookmarkStart w:id="75" w:name="_Toc33630638"/>
      <w:bookmarkStart w:id="76" w:name="_Toc77152111"/>
      <w:bookmarkStart w:id="77" w:name="_Toc27591"/>
      <w:r>
        <w:rPr>
          <w:rFonts w:hint="eastAsia" w:ascii="楷体_GB2312" w:hAnsi="楷体_GB2312" w:eastAsia="楷体_GB2312" w:cs="楷体_GB2312"/>
          <w:b/>
          <w:bCs/>
          <w:sz w:val="32"/>
          <w:szCs w:val="32"/>
        </w:rPr>
        <w:t>第二节  实施企业“三大改造”转型升级</w:t>
      </w:r>
      <w:bookmarkEnd w:id="74"/>
      <w:bookmarkEnd w:id="75"/>
      <w:r>
        <w:rPr>
          <w:rFonts w:hint="eastAsia" w:ascii="楷体_GB2312" w:hAnsi="楷体_GB2312" w:eastAsia="楷体_GB2312" w:cs="楷体_GB2312"/>
          <w:b/>
          <w:bCs/>
          <w:sz w:val="32"/>
          <w:szCs w:val="32"/>
        </w:rPr>
        <w:t>工程</w:t>
      </w:r>
      <w:bookmarkEnd w:id="76"/>
      <w:bookmarkEnd w:id="7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智能制造和工业互联网发展计划，大力发展智能工厂、智能车间，推动高端纺织服装、现代食品两大支柱产业中的骨干企业完成数字化转型和智能化改造，构建服装服饰、高效饲料2个行业工业互联网平台。实施绿色制造行动计划，大力推广应用节能、节水、减排、清洁生产等先进技术，推进食品、饲料、印染全生命周期绿色管理，创建一批国家级、省级绿色工厂、绿色园区和绿色供应链示范企业。产业集聚区率先实现绿色化生产方式，盘活低效用地、厂房和设施，推进“腾笼换鸟”。加快实施企业高端化技术改造计划，聚焦提高质量、开发新产品、淘汰落后产能、提升工艺设计和技术装备水平等重点方向，组织实施一批技术改造项目，在资源综合利用、生物育种等领域，推广应用先进适用技术和装备。优化机械制造、食品加工、木制品、家具制造产业链、价值链、供应链，促进向高精深方向拓展。支持企业并购重组，形成集中度高、分工细化、协作高效的产业组织形态。</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78" w:name="_Toc18809"/>
      <w:bookmarkStart w:id="79" w:name="_Toc77152112"/>
      <w:bookmarkStart w:id="80" w:name="_Toc18308"/>
      <w:r>
        <w:rPr>
          <w:rFonts w:hint="eastAsia" w:ascii="楷体_GB2312" w:hAnsi="楷体_GB2312" w:eastAsia="楷体_GB2312" w:cs="楷体_GB2312"/>
          <w:b/>
          <w:bCs/>
          <w:sz w:val="32"/>
          <w:szCs w:val="32"/>
        </w:rPr>
        <w:t>第三节  实施“两区”“二次创业”</w:t>
      </w:r>
      <w:bookmarkEnd w:id="78"/>
      <w:r>
        <w:rPr>
          <w:rFonts w:hint="eastAsia" w:ascii="楷体_GB2312" w:hAnsi="楷体_GB2312" w:eastAsia="楷体_GB2312" w:cs="楷体_GB2312"/>
          <w:b/>
          <w:bCs/>
          <w:sz w:val="32"/>
          <w:szCs w:val="32"/>
        </w:rPr>
        <w:t>工程</w:t>
      </w:r>
      <w:bookmarkEnd w:id="79"/>
      <w:bookmarkEnd w:id="8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快产业集聚区以“三提”“两改”为主攻方向的“二次创业”，尽快完成规划修编，调整优化主导产业定位和空间布局，高水平推进服装科技园、食品产业园、静脉产业园、临港经济产业园等特色专业园区和科技服务平台建设，发挥创业服务中心、企业孵化中心和技术成果推广中心引领带动作用，提升产业载体功能。支持服装、饲料行业龙头企业进入生产性服务业和服务型制造领域，发展定向开发、系统集成、供应链管理、科创服务、共享生产平台等一揽子服务，推进制造业向更高层次转型升级。把产业集聚区建成高质量发展示范区、先进制造业创新引领区和改革开放先导区，争创省级经济技术开发区。加快商务中心区提速增效，强化生产性服务功能，大力吸引金融、物流、电子商务、互联网解决方案供应商等现代服务企业集聚，提高对制造业转型升级的支撑服务能力。</w:t>
      </w:r>
    </w:p>
    <w:p>
      <w:pPr>
        <w:pStyle w:val="2"/>
        <w:rPr>
          <w:rFonts w:hint="eastAsia"/>
        </w:rPr>
      </w:pPr>
    </w:p>
    <w:tbl>
      <w:tblPr>
        <w:tblStyle w:val="26"/>
        <w:tblW w:w="8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188"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专栏4  新兴产业链集群重大行动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8"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产业集聚区“二次创业”行动。高质量规划修编产业集聚区发展总体规划，围绕纺织印染服饰和农副产品加工两大主导，将15平方公里扩至40平方公里，重点打造“一区多园”、“园中园”的发展格局。（1）纺织服饰工业园区，加快阿尔本服装科技园</w:t>
            </w:r>
            <w:r>
              <w:rPr>
                <w:rFonts w:hint="eastAsia" w:ascii="仿宋_GB2312" w:hAnsi="仿宋_GB2312" w:eastAsia="仿宋_GB2312" w:cs="仿宋_GB2312"/>
                <w:sz w:val="24"/>
                <w:szCs w:val="24"/>
                <w:lang w:eastAsia="zh-CN"/>
              </w:rPr>
              <w:t>项目</w:t>
            </w:r>
            <w:r>
              <w:rPr>
                <w:rFonts w:hint="eastAsia" w:ascii="仿宋_GB2312" w:hAnsi="仿宋_GB2312" w:eastAsia="仿宋_GB2312" w:cs="仿宋_GB2312"/>
                <w:sz w:val="24"/>
                <w:szCs w:val="24"/>
              </w:rPr>
              <w:t>建设，着力打造成为国内著名的服装研产基地、品牌孵化基地、跨境电子商务基地、转型升级人才培训基地，形成印染纺织服饰全产业链集群。（2）农副食品加工园区，以河南普爱</w:t>
            </w:r>
            <w:r>
              <w:rPr>
                <w:rFonts w:hint="eastAsia" w:ascii="仿宋_GB2312" w:hAnsi="仿宋_GB2312" w:eastAsia="仿宋_GB2312" w:cs="仿宋_GB2312"/>
                <w:sz w:val="24"/>
                <w:szCs w:val="24"/>
                <w:lang w:eastAsia="zh-CN"/>
              </w:rPr>
              <w:t>饲料</w:t>
            </w:r>
            <w:r>
              <w:rPr>
                <w:rFonts w:hint="eastAsia" w:ascii="仿宋_GB2312" w:hAnsi="仿宋_GB2312" w:eastAsia="仿宋_GB2312" w:cs="仿宋_GB2312"/>
                <w:sz w:val="24"/>
                <w:szCs w:val="24"/>
              </w:rPr>
              <w:t>公司为龙头，大力发展高效抗病毒饲料、添加剂预混合饲料、动物保健品、消毒剂、疫苗，形成新型产业链集群。食品加工业以鲁王面粉、周家口食品</w:t>
            </w:r>
            <w:r>
              <w:rPr>
                <w:rFonts w:hint="eastAsia" w:ascii="仿宋_GB2312" w:hAnsi="仿宋_GB2312" w:eastAsia="仿宋_GB2312" w:cs="仿宋_GB2312"/>
                <w:sz w:val="24"/>
                <w:szCs w:val="24"/>
                <w:lang w:eastAsia="zh-CN"/>
              </w:rPr>
              <w:t>、朗丽食品</w:t>
            </w:r>
            <w:r>
              <w:rPr>
                <w:rFonts w:hint="eastAsia" w:ascii="仿宋_GB2312" w:hAnsi="仿宋_GB2312" w:eastAsia="仿宋_GB2312" w:cs="仿宋_GB2312"/>
                <w:sz w:val="24"/>
                <w:szCs w:val="24"/>
              </w:rPr>
              <w:t>等为龙头，培育“高精专特”企业方阵，大力开发功能食品、方便食品、旅行食品，积极向上游农业基地、下游多元化服务不断延伸，</w:t>
            </w:r>
            <w:r>
              <w:rPr>
                <w:rFonts w:hint="eastAsia" w:ascii="仿宋_GB2312" w:hAnsi="仿宋_GB2312" w:eastAsia="仿宋_GB2312" w:cs="仿宋_GB2312"/>
                <w:sz w:val="24"/>
                <w:szCs w:val="24"/>
                <w:lang w:eastAsia="zh-CN"/>
              </w:rPr>
              <w:t>打造</w:t>
            </w:r>
            <w:r>
              <w:rPr>
                <w:rFonts w:hint="eastAsia" w:ascii="仿宋_GB2312" w:hAnsi="仿宋_GB2312" w:eastAsia="仿宋_GB2312" w:cs="仿宋_GB2312"/>
                <w:sz w:val="24"/>
                <w:szCs w:val="24"/>
              </w:rPr>
              <w:t>种植收储、绿色加工、场景营销、观光旅游为一体的面食全产业链条。（3）静脉产业园，依托“国家级资源循环利用基地”，统筹电子拆解、汽车拆解、危废处理、医废处理、垃圾发电，开发废旧金属、废旧塑料等“城市矿产”，巩固畅通“回收网络—分拣拆解—深加工—交易物流”循环产业链条。（4）循环经济园区，充分利用隆达电厂电、热、汽和粉煤灰等主副产品优势，重点打造资源再生区和废物综合利用区。依托河南颍河电子、千王钎具、斯达奇专用汽车制造</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培育发展智能装备制造产业。加快产业集聚区与县特色商业区、县城及市中心城区融合对接、资源共享，推动以产带城，以城促产，产城互动、融合发展。</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实施强龙头、壮骨干行动。建立骨干企业培育后备库。坚持分类指导、分层对接、梯次培育，促进企业做大做强，不断壮大我县规模以上工业企业数量。落实企业股改奖励政策，积极引导企业股改技改并举、园区基地同建、招商合作与自主创新共进，推动重点企业对接多层次资本市场，全力支持龙头骨干企业到主板、中小企业板、创业板上市步伐。“十四五”期间，重点培育1家主营业务收入超200亿元的企业、1家主营业务收入超100亿元的企业，主营业务收入超10亿元的企业达到30家以上。</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、实施产业精准招商行动。聚焦产业图谱，深入研究产业链、供应链、价值链，找准招商发力点</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采取一线招商、产业专题招商、以商招商、零地招商等多元招商方式，提高招商精准度；加大股权招商、基金组合、轻资产入驻等模式探索。</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4</w:t>
            </w:r>
            <w:r>
              <w:rPr>
                <w:rFonts w:hint="eastAsia" w:ascii="仿宋_GB2312" w:hAnsi="仿宋_GB2312" w:eastAsia="仿宋_GB2312" w:cs="仿宋_GB2312"/>
                <w:sz w:val="24"/>
                <w:szCs w:val="24"/>
              </w:rPr>
              <w:t>、实施服务保障行动。持续推广“企业+主办行”金融服务机制。支持国有平台公司对接政策性银行、开发性金融机构等，争取中长期贷款资金支持，加快实施标准化厂房、科创孵化园、服务中心项目建设；积极与省财政厅中小企业基金、返乡创业基金、产业集聚区发展投资基金等对接，做大做强产业基金；实施“国有平台+产业基金+企业”合作模式，为重大项目落地提供资金保障。加强土地供应保障，对重大产业项目实行“批、征、供、用、登”全链条式跟踪服务；大力开展批而未供、供而未用及低效用地清理盘活行动，推进“标准地+承诺制”方式供应工业用地，提高土地利用率，最大限度保障产业项目土地供应。</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制造业与互联网融合10项重点导引工程。（1）引导产品全生命周期研发、设计、制造以及服务等活动的数字化和集成互联。（2）引导产品采购、物流、生产制造、销售服务等供应链运营及活动的数字化和集成互联。（3）引导智能工厂、智慧管理、智能决策等生产经营活动的数字化和集成互联。（4）支持提供远程办公、财务管理、供应链管理、业务远程协同等经营管理类解决方案。（5）支持提供智能制造、监测调度、协同制造平台等生产制造类产品服务解决方案。（6）支持精准营销市场、拓展客户维护等服务解决方案。（7）鼓励发展垂直工业电商服务平台，建立集网上交易、加工配送、大数据分析等于一体的工业电商服务体系。（8）鼓励食品、轻纺等行业开展大数据精准营销。（9）支持企业推动研发、设计、生产制造、经营管理、物流配送、客户资源、营销渠道等制造资源的数字化、在线化，打造制造业“双创”平台。（10）推动产业集聚区、商务中心区建设众创空间，为创业项目和团队提供技术、人才、管理、渠道、市场、融资、培训于一体的创业创新服务。</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81" w:name="_Toc77152113"/>
      <w:bookmarkStart w:id="82" w:name="_Toc16207"/>
      <w:bookmarkStart w:id="83" w:name="_Toc28061"/>
      <w:r>
        <w:rPr>
          <w:rFonts w:hint="eastAsia" w:ascii="黑体" w:hAnsi="黑体" w:eastAsia="黑体" w:cs="黑体"/>
          <w:sz w:val="32"/>
          <w:szCs w:val="32"/>
        </w:rPr>
        <w:t>第十二章  实施现代服务业提质提速工程</w:t>
      </w:r>
      <w:bookmarkEnd w:id="81"/>
      <w:bookmarkEnd w:id="82"/>
      <w:bookmarkEnd w:id="8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推动业态模式创新和品质提升，加强专业化、标准化、品质化建设，培育服务经济发展新动能，增强服务业转型升级的支撑能力和满足消费需求升级的供给能力。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84" w:name="_Toc25304"/>
      <w:bookmarkStart w:id="85" w:name="_Toc77152114"/>
      <w:r>
        <w:rPr>
          <w:rFonts w:hint="eastAsia" w:ascii="楷体_GB2312" w:hAnsi="楷体_GB2312" w:eastAsia="楷体_GB2312" w:cs="楷体_GB2312"/>
          <w:b/>
          <w:bCs/>
          <w:sz w:val="32"/>
          <w:szCs w:val="32"/>
        </w:rPr>
        <w:t xml:space="preserve">第一节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加快生产性服务业发展</w:t>
      </w:r>
      <w:bookmarkEnd w:id="84"/>
      <w:bookmarkEnd w:id="8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起点推动服务业全面开放，积极开发设计创意、工程咨询、检验检疫、商务服务、法律会计、运营管理、工业电商等产业。瞄准周口市现代食品、高效饲料、纺织服装、特色农产品以及本县渔网编织、文印等特色品牌，大力发展区域性、专业性商务会展业。支持“双创”示范基地、众创空间、星创天地等平台建设，增强服务业发展活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86" w:name="_Toc77152115"/>
      <w:bookmarkStart w:id="87" w:name="_Toc21062"/>
      <w:r>
        <w:rPr>
          <w:rFonts w:hint="eastAsia" w:ascii="楷体_GB2312" w:hAnsi="楷体_GB2312" w:eastAsia="楷体_GB2312" w:cs="楷体_GB2312"/>
          <w:b/>
          <w:bCs/>
          <w:sz w:val="32"/>
          <w:szCs w:val="32"/>
        </w:rPr>
        <w:t>第二节  打造电子商务升级版</w:t>
      </w:r>
      <w:bookmarkEnd w:id="86"/>
      <w:bookmarkEnd w:id="8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以“商善若水”国家级县域公共品牌为支撑，发展各具特色的电商平台。加快建立多层次电商服务体系，完善县电子商务公共服务线上平台，引导县电商公共服务中心与镇村电商服务网点加强线上线下联动。发挥好品牌电商的示范效应，助推全县电商品牌化发展。大力发展农村电商物流，推动邮政、供销、交通、快递等相关农村物流服务网络和设施的共享衔接。支持大型商超、专业市场等商贸企业建设网上商城、网络云店，提升社区电商物流服务功能。支持电商物流企业与连锁超市、社区服务中心、机关学校以及第三方企业，共建城市社区综合服务平台。做强跨境电商物流服务，主动对接国家郑州跨境电子商务示范试点平台和周口跨境电商平台，大力发展跨境电商物流服务。  </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88" w:name="_Toc77152116"/>
      <w:bookmarkStart w:id="89" w:name="_Toc17806"/>
      <w:r>
        <w:rPr>
          <w:rFonts w:hint="eastAsia" w:ascii="楷体_GB2312" w:hAnsi="楷体_GB2312" w:eastAsia="楷体_GB2312" w:cs="楷体_GB2312"/>
          <w:b/>
          <w:bCs/>
          <w:sz w:val="32"/>
          <w:szCs w:val="32"/>
        </w:rPr>
        <w:t xml:space="preserve">第三节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打造临港枢纽经济新引擎</w:t>
      </w:r>
      <w:bookmarkEnd w:id="88"/>
      <w:bookmarkEnd w:id="8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商水内河航运港口，以服务建设豫东南地区区域性中心城市、中原港城、国家级多式联运枢纽试点城市为目标，充分发挥商水港区人流、物流、资金流、信息流扩散效应，加强商水陆水集成型航运物流港基础设施建设，加快建成赵集临港产业园、柴湾临港物流园、粮食仓储物流园、商水港口码头散粮提升工程、再生资源集散中心等工程，构建临港经济物流仓储区、粮油加工区、绿色建材加工区、综合服务区，推动与公铁物流有效衔接，推进大宗货物运输“公转铁”“铁转水”“公转水”，建成豫东南区域性综合物流枢纽和临港产业集聚平台，吸引龙头企业布局区域总部、运营中心、分拨中心。推进要素集聚、功能集成，加快构建以邓城为主的农副产品食品加工、物流仓储包装产业片区，以张庄为主的建筑材料及家具加工和休闲产业片区，打造豫东地区重量级的食品加工基地、临港物流贸易基地和建材工业基地，形成以港口为中心，带动仓储、运输、物流、加工、贸易、金融、代理的产业协作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90" w:name="_Toc77152117"/>
      <w:bookmarkStart w:id="91" w:name="_Toc23085"/>
      <w:r>
        <w:rPr>
          <w:rFonts w:hint="eastAsia" w:ascii="楷体_GB2312" w:hAnsi="楷体_GB2312" w:eastAsia="楷体_GB2312" w:cs="楷体_GB2312"/>
          <w:b/>
          <w:bCs/>
          <w:sz w:val="32"/>
          <w:szCs w:val="32"/>
        </w:rPr>
        <w:t>第四节  培育现代物流产业新优势</w:t>
      </w:r>
      <w:bookmarkEnd w:id="90"/>
      <w:bookmarkEnd w:id="9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周口市区位交通、水运、粮食、人口与市场规模等优势，面向周口市区乃至豫东南地区，重点推进淘宝电商仓储、万果园商品、东方家具城、现代化农产品批发市场、富康食品、世达粮油运输项目和小麦交易市场等项目实施，建设现代化商贸流通集散中心，大力发展大宗商品仓储转运物流、农产品冷链物流、快递物流、城乡配送。夯实基础，厚植优势，促进煤炭、钢铁、粮食等大宗产品、特色农副产品、日用品、小商品等产业供应链组织优化升级，通过构建长期合作伙伴关系组成供应链联盟，从原料采购、加工制造、联合销售、物流运输等各个环节相互联合，实现优势互补、风险共担和利益共享，形成一种多方位的、目标导向的长期合作伙伴关系，带动区域产业协同联动，把现代物流发展为新的优势产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92" w:name="_Toc77152118"/>
      <w:bookmarkStart w:id="93" w:name="_Toc30556"/>
      <w:r>
        <w:rPr>
          <w:rFonts w:hint="eastAsia" w:ascii="楷体_GB2312" w:hAnsi="楷体_GB2312" w:eastAsia="楷体_GB2312" w:cs="楷体_GB2312"/>
          <w:b/>
          <w:bCs/>
          <w:sz w:val="32"/>
          <w:szCs w:val="32"/>
        </w:rPr>
        <w:t>第五节  大力发展文化旅游业</w:t>
      </w:r>
      <w:bookmarkEnd w:id="92"/>
      <w:bookmarkEnd w:id="9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开发沙河、汾河休闲观光精品线路，高水平建设码头、沙滩、景观小品、休闲餐饮、娱乐游玩、生态田园、健康养生等设施项目。加大邓城叶氏庄园开发力度，完善基础设施和配套服务设施，美化景区环景，建设汇集民俗文化、农耕文化、民间艺术、民宿餐饮于一体的乡愁馆。加快发展沿沙颍河生态观光游、古镇古迹文化游、民俗风情游、特色农业采摘休闲游等，高品位打造城市后花园旅游度假区、叶氏庄园文化旅游区、寿圣寺文化旅游区等精品旅游景区，培育旅游全要素产业集群。</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94" w:name="_Toc77152119"/>
      <w:bookmarkStart w:id="95" w:name="_Toc23387"/>
      <w:r>
        <w:rPr>
          <w:rFonts w:hint="eastAsia" w:ascii="楷体_GB2312" w:hAnsi="楷体_GB2312" w:eastAsia="楷体_GB2312" w:cs="楷体_GB2312"/>
          <w:b/>
          <w:bCs/>
          <w:sz w:val="32"/>
          <w:szCs w:val="32"/>
        </w:rPr>
        <w:t xml:space="preserve">第六节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提升金融服务业发展水平</w:t>
      </w:r>
      <w:bookmarkEnd w:id="94"/>
      <w:bookmarkEnd w:id="9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吸引更多的股份制银行和保险机构、经纪公司、资产评估机构、咨询服务机构、典当拍卖机构等在我县建立分支机构，积极引入国内知名的风险投资基金、股权投资基金和创业投资基金入驻，打造基金产业基地。建立完善金融协调机制和银企对接机制，搭建金融信息共享平台，畅通金融体系和实体经济良性循环，激励和督促金融机构落实普惠金融政策，创新金融服务产品，积极发展互联网金融、供应链金融、科技金融、绿色金融，支持开展再贷款再贴现业务，增强服务实体经济能力。加强社会诚信体系建设，积极维护金融债权，着力优化金融生态环境。</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96" w:name="_Toc77152120"/>
      <w:bookmarkStart w:id="97" w:name="_Toc22182"/>
      <w:r>
        <w:rPr>
          <w:rFonts w:hint="eastAsia" w:ascii="楷体_GB2312" w:hAnsi="楷体_GB2312" w:eastAsia="楷体_GB2312" w:cs="楷体_GB2312"/>
          <w:b/>
          <w:bCs/>
          <w:sz w:val="32"/>
          <w:szCs w:val="32"/>
        </w:rPr>
        <w:t>第七节</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 xml:space="preserve"> 积极发展生活性服务业</w:t>
      </w:r>
      <w:bookmarkEnd w:id="96"/>
      <w:bookmarkEnd w:id="9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力发展教育培训、文化娱乐、体育休闲、家政、物业、育幼、家电维修、装饰装修和家庭服务业，促进专业化、规模化、网络化发展。适应消费数字化、品质化、个性化、多元化趋势，积极开发在线经济、假日经济、体验式消费、直播带货等新业态，丰富消费场景，促进消费升级。加强公益性基础性服务业供给。大力培育“夜间经济”。改造提升重要街区周边环境，强化夜间消费安全、环境和政策的支持保障，丰富夜间产品供给，繁荣夜间经济。围绕商业购物、特色餐饮、文旅休闲、运动健身、网络教育等五大消费领域，培育夜游、夜健、夜学、夜演、夜购、夜娱“六夜”特色业态，做大餐饮市场夜间消费规模。支持“双创”示范基地、众创空间、星创天地等平台建设，鼓励搭建资源开放共享平台，发展分享经济。</w:t>
      </w:r>
    </w:p>
    <w:p>
      <w:pPr>
        <w:pStyle w:val="2"/>
        <w:rPr>
          <w:rFonts w:hint="eastAsia"/>
        </w:rPr>
      </w:pPr>
    </w:p>
    <w:tbl>
      <w:tblPr>
        <w:tblStyle w:val="26"/>
        <w:tblW w:w="84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tblHeader/>
          <w:jc w:val="center"/>
        </w:trPr>
        <w:tc>
          <w:tcPr>
            <w:tcW w:w="8440"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专栏5  现代服务业重大工程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4" w:hRule="atLeast"/>
          <w:jc w:val="center"/>
        </w:trPr>
        <w:tc>
          <w:tcPr>
            <w:tcW w:w="8440"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1、打造电子商务升级版。</w:t>
            </w:r>
            <w:bookmarkStart w:id="98" w:name="_Toc44867135"/>
            <w:r>
              <w:rPr>
                <w:rFonts w:hint="eastAsia" w:ascii="仿宋_GB2312" w:hAnsi="仿宋_GB2312" w:eastAsia="仿宋_GB2312" w:cs="仿宋_GB2312"/>
                <w:sz w:val="24"/>
                <w:szCs w:val="24"/>
              </w:rPr>
              <w:t>“十四五”规划建设电商物流（快递）园区和跨境电商产业园，培育</w:t>
            </w:r>
            <w:r>
              <w:rPr>
                <w:rFonts w:hint="eastAsia" w:ascii="仿宋_GB2312" w:hAnsi="仿宋_GB2312" w:eastAsia="仿宋_GB2312" w:cs="仿宋_GB2312"/>
                <w:sz w:val="24"/>
                <w:szCs w:val="24"/>
                <w:lang w:val="en-US" w:eastAsia="zh-CN"/>
              </w:rPr>
              <w:t>10</w:t>
            </w:r>
            <w:r>
              <w:rPr>
                <w:rFonts w:hint="eastAsia" w:ascii="仿宋_GB2312" w:hAnsi="仿宋_GB2312" w:eastAsia="仿宋_GB2312" w:cs="仿宋_GB2312"/>
                <w:sz w:val="24"/>
                <w:szCs w:val="24"/>
              </w:rPr>
              <w:t>个“商善若水”子品牌，争创国家电商产业园区，培育国家级电商示范企业一家，省级示范企业两家；各行政村电商服务网点全覆盖，打造24个网货供应基地，改造一座县级物流(快递)分拣配送中心。</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实施现代物流园区建设工程。（1）依托漯阜铁路和隆达电厂铁路专用线，建设铁路、水路、公路三位一体多式联运的物流园区，为商水县境内各大产业园提供铁路物流服务，同时兼顾周口港区货物集散服务。（2）投资19.46亿元，修建商水柴湾港口物流园区、沙颖河临港产业园区。（3）实施商水县牧原肉食品有限公司冷链物流项目。（4）</w:t>
            </w:r>
            <w:r>
              <w:rPr>
                <w:rFonts w:hint="eastAsia" w:ascii="仿宋_GB2312" w:hAnsi="仿宋_GB2312" w:eastAsia="仿宋_GB2312" w:cs="仿宋_GB2312"/>
                <w:sz w:val="24"/>
                <w:szCs w:val="24"/>
                <w:lang w:eastAsia="zh-CN"/>
              </w:rPr>
              <w:t>规划建设</w:t>
            </w:r>
            <w:r>
              <w:rPr>
                <w:rFonts w:hint="eastAsia" w:ascii="仿宋_GB2312" w:hAnsi="仿宋_GB2312" w:eastAsia="仿宋_GB2312" w:cs="仿宋_GB2312"/>
                <w:sz w:val="24"/>
                <w:szCs w:val="24"/>
              </w:rPr>
              <w:t>商水港口码头散粮提升工程仓储物流项目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商水县益丰粮食购销有限公司仓储加工物流项目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周口鲁王面粉有限责任公司示范园区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商水县张明粮食购销有限公司仓储建设项目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商水县固墙粮食购销有限公司仓储建设项目</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商水县快递智能分拣中心</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高标准农产品批发市场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二手车交易市场</w:t>
            </w:r>
            <w:r>
              <w:rPr>
                <w:rFonts w:hint="eastAsia" w:ascii="仿宋_GB2312" w:hAnsi="仿宋_GB2312" w:eastAsia="仿宋_GB2312" w:cs="仿宋_GB2312"/>
                <w:sz w:val="24"/>
                <w:szCs w:val="24"/>
                <w:lang w:eastAsia="zh-CN"/>
              </w:rPr>
              <w:t>等项目</w:t>
            </w:r>
            <w:r>
              <w:rPr>
                <w:rFonts w:hint="eastAsia" w:ascii="仿宋_GB2312" w:hAnsi="仿宋_GB2312" w:eastAsia="仿宋_GB2312" w:cs="仿宋_GB2312"/>
                <w:sz w:val="24"/>
                <w:szCs w:val="24"/>
              </w:rPr>
              <w:t>。</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打造国际化大宗商品集疏运体系。以内河航运、太郑合、大广、沪陕4个跨省物流大通道为核心，串联京港澳、陆桥、沪昆、京沪、沿长江及南北沿海6个国家物流大通道，畅通豫晋煤炭、小麦、玉米和食品、纺织服装“东运南输”以及砂石、水泥、矿石、大豆“西走北上”物流通道，实现与“一带一路”国际物流通道有机衔接，增强与日照港、连云港、南京港、太仓港、大丰港、上海港等重要的物流节点城市联系，完善煤炭、粮油、建材、农资、食品及钢铁、集装箱等大宗商品集疏运体系。对接国内国际航线和港口集疏运网络，实现水陆联运、水水中转有机衔接，为港口腹地及其辐射区域提供煤炭、钢铁、粮食等大宗产品的集装箱运输、国际中转、转口贸易、多式联运等物流服务。至2025年，商水物流枢纽业务覆盖全省、辐射中原经济区、沿海省份乃至全球主要经济体。</w:t>
            </w:r>
          </w:p>
          <w:bookmarkEnd w:id="98"/>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实施文化旅游融合发展工程。以特色农产品采摘、叶氏庄园文化旅游区、寿圣寺文化旅游区等为依托，扶持一批文化旅游产业重点项目。保护开发古树、古迹、古街、古镇、古村落、名人故居，利用传统或现代的艺术表现形式演译历史故事。加快开发舒庄扶苏村、袁老袁绍故里、郝岗圣寿寺和大武红色旅游等景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实施特色商业区转型晋级工程。进一步加大招商引资力度，加快建设集小众奢品、高端零售百货、一线影院、知名餐饮于一体的商业综合体。突出“5G”“物联网”“A1”等元素，注入新业态，打造新型城市、智慧城市、海绵城市。促进特色商业区文化展示、休闲旅游、商贸金融产业格局进一步凸显，达到晋升二星级服务业两区的标准，成为服务业发展的新高地、招商引资的新平台、经济发展的新动力。</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99" w:name="_Toc31493"/>
      <w:bookmarkStart w:id="100" w:name="_Toc8481"/>
      <w:bookmarkStart w:id="101" w:name="_Toc77152121"/>
      <w:r>
        <w:rPr>
          <w:rFonts w:hint="eastAsia" w:ascii="黑体" w:hAnsi="黑体" w:eastAsia="黑体" w:cs="黑体"/>
          <w:sz w:val="32"/>
          <w:szCs w:val="32"/>
        </w:rPr>
        <w:t xml:space="preserve">第十三章  </w:t>
      </w:r>
      <w:bookmarkEnd w:id="99"/>
      <w:r>
        <w:rPr>
          <w:rFonts w:hint="eastAsia" w:ascii="黑体" w:hAnsi="黑体" w:eastAsia="黑体" w:cs="黑体"/>
          <w:sz w:val="32"/>
          <w:szCs w:val="32"/>
        </w:rPr>
        <w:t>加快数字化发展</w:t>
      </w:r>
      <w:bookmarkEnd w:id="100"/>
      <w:bookmarkEnd w:id="10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全面迎接数字时代，加快数字化发展，带动科技变革、产业变革和社会治方式变革。</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02" w:name="_Toc77152122"/>
      <w:bookmarkStart w:id="103" w:name="_Toc13837"/>
      <w:r>
        <w:rPr>
          <w:rFonts w:hint="eastAsia" w:ascii="楷体_GB2312" w:hAnsi="楷体_GB2312" w:eastAsia="楷体_GB2312" w:cs="楷体_GB2312"/>
          <w:b/>
          <w:bCs/>
          <w:sz w:val="32"/>
          <w:szCs w:val="32"/>
        </w:rPr>
        <w:t>第一节  推进产业数字化转型</w:t>
      </w:r>
      <w:bookmarkEnd w:id="102"/>
      <w:bookmarkEnd w:id="10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顺应时代发展要求，建设大数据应用中心平台，</w:t>
      </w:r>
      <w:r>
        <w:rPr>
          <w:rFonts w:hint="eastAsia" w:ascii="仿宋_GB2312" w:hAnsi="仿宋_GB2312" w:eastAsia="仿宋_GB2312" w:cs="仿宋_GB2312"/>
          <w:sz w:val="32"/>
          <w:szCs w:val="32"/>
        </w:rPr>
        <w:t>突出数字化引领、撬动、赋能作用，全方位推进工业、农业、服务业创新转型，实施“5G+工业互联网”工程，加强工业互联网平台引育，争取打造1个标杆企业。鼓励工业企业升级改造工业互联网内网，推动3个重点行业龙头企业、10个骨干企业开展工业互联网内网改造升级。发展数字农业、智慧农业，加强5G北斗导航、遥感和物联网等技术应用。发展“互联网+”车货交易、无车承运人等物流新业态。推动数字化金融等产品服务，创新推广在线交互研发设计、众包等新模式，争取推进企业“上</w:t>
      </w:r>
      <w:r>
        <w:rPr>
          <w:rFonts w:hint="eastAsia" w:ascii="仿宋_GB2312" w:hAnsi="仿宋_GB2312" w:eastAsia="仿宋_GB2312" w:cs="仿宋_GB2312"/>
          <w:spacing w:val="6"/>
          <w:sz w:val="32"/>
          <w:szCs w:val="32"/>
        </w:rPr>
        <w:t>云用数赋智”全覆盖，打造数字化转型企业标杆和典型应用场景。</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04" w:name="_Toc77152123"/>
      <w:bookmarkStart w:id="105" w:name="_Toc24035"/>
      <w:r>
        <w:rPr>
          <w:rFonts w:hint="eastAsia" w:ascii="楷体_GB2312" w:hAnsi="楷体_GB2312" w:eastAsia="楷体_GB2312" w:cs="楷体_GB2312"/>
          <w:b/>
          <w:bCs/>
          <w:sz w:val="32"/>
          <w:szCs w:val="32"/>
        </w:rPr>
        <w:t xml:space="preserve">第二节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加强数字社会建设</w:t>
      </w:r>
      <w:bookmarkEnd w:id="104"/>
      <w:bookmarkEnd w:id="10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深入推进</w:t>
      </w:r>
      <w:r>
        <w:rPr>
          <w:rFonts w:hint="eastAsia" w:ascii="仿宋_GB2312" w:hAnsi="仿宋_GB2312" w:eastAsia="仿宋_GB2312" w:cs="仿宋_GB2312"/>
          <w:sz w:val="32"/>
          <w:szCs w:val="32"/>
          <w:lang w:eastAsia="zh-CN"/>
        </w:rPr>
        <w:t>智慧城市、智慧乡村建设，大力推行</w:t>
      </w:r>
      <w:r>
        <w:rPr>
          <w:rFonts w:hint="eastAsia" w:ascii="仿宋_GB2312" w:hAnsi="仿宋_GB2312" w:eastAsia="仿宋_GB2312" w:cs="仿宋_GB2312"/>
          <w:sz w:val="32"/>
          <w:szCs w:val="32"/>
        </w:rPr>
        <w:t>数字技术在城市治理、乡村振兴、生活服务等方面的广泛应用，实现数字化发展成果更高水平更大范围普惠共享。整合公共安全、市政管理、交通运输、应急管理、卫生健康、空间地理等领域信息系统和数据资源，推行城市楼宇、公共空间、地下管网等“一张图数”字化管理和城市运行“一张网”统管。推进标准化、规范化智慧小区建设，完善便民惠民智慧服务圈，打造综合集成社区服务和管理功能一体化的智慧社区。创建信息进村入户整县推进示范工程，加快高速光纤宽带网、窄带物联网和5G网络向农村延伸覆盖，推动农业农村信息化服务平台和应用系统整合，创建数字乡村示范县。实施“互联网+农产品出村进城”工程，建成一批智慧物流配送中心。推进乡村数字化治理，构建以党建为引领的村级综合服务平台，提升农村社会综合治理精细化、智慧化水平，繁荣发展乡村网络文化，推进农村公共文化产品和服务数字化。顺应线上消费新趋势，加快生活性服务业线上线下融合发展，规范推动共享出行、餐饮外卖、体验经济等商业创新模式，发展智慧门店、智慧配送、自助终端等无接触服务，培育具有示范带动作用的数字生活服务标杆企业。推动数字化服务普惠应用，推进学校、医院、文体场馆、养老等公共服务资源数据数字化。</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06" w:name="_Toc10119"/>
      <w:bookmarkStart w:id="107" w:name="_Toc77152124"/>
      <w:r>
        <w:rPr>
          <w:rFonts w:hint="eastAsia" w:ascii="楷体_GB2312" w:hAnsi="楷体_GB2312" w:eastAsia="楷体_GB2312" w:cs="楷体_GB2312"/>
          <w:b/>
          <w:bCs/>
          <w:sz w:val="32"/>
          <w:szCs w:val="32"/>
        </w:rPr>
        <w:t>第三节  提升数字化治理水平</w:t>
      </w:r>
      <w:bookmarkEnd w:id="106"/>
      <w:bookmarkEnd w:id="10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政府管理服务数字化转型，营造数字化发展生态，促进政府效能提升和数据资源价值实现。强化政务信息系统集约建设、整合优化和互联互动，推进跨部门、跨业务管理和服务。加强政府数据共享交换，实现政务服务“一网通办”、社会治理“一网通管”、政务数据“一网通享”，加快构建数字技术辅助政府决策机制，探索建立政府、互联网企业、行业组织和公众共同参与的协同治理机制，加强数字经济统计监测。</w:t>
      </w:r>
    </w:p>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108" w:name="_Toc77152125"/>
      <w:bookmarkStart w:id="109" w:name="_Toc26711"/>
      <w:r>
        <w:rPr>
          <w:rFonts w:hint="eastAsia" w:ascii="黑体" w:hAnsi="黑体" w:eastAsia="黑体" w:cs="黑体"/>
          <w:sz w:val="32"/>
          <w:szCs w:val="32"/>
        </w:rPr>
        <w:t>第四篇  全面深化改革</w:t>
      </w:r>
      <w:bookmarkEnd w:id="108"/>
      <w:bookmarkEnd w:id="109"/>
      <w:r>
        <w:rPr>
          <w:rFonts w:hint="eastAsia" w:ascii="黑体" w:hAnsi="黑体" w:eastAsia="黑体" w:cs="黑体"/>
          <w:sz w:val="32"/>
          <w:szCs w:val="32"/>
        </w:rPr>
        <w:t xml:space="preserve">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聚焦体制机制、统筹谋划改革任务，持续深化“放管服”改革，进一步优化营商环境，更好地发挥市场配置资源要素的决定性作用，充分释放经济社会发展活力，增强改革系统性、整体性、协同性，拓展改革广度和深度，推进重要领域和关键环节改革取得突破性进展。</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10" w:name="_Toc33630670"/>
      <w:bookmarkStart w:id="111" w:name="_Toc24091"/>
      <w:bookmarkStart w:id="112" w:name="_Toc26914"/>
      <w:bookmarkStart w:id="113" w:name="_Toc77152126"/>
      <w:r>
        <w:rPr>
          <w:rFonts w:hint="eastAsia" w:ascii="黑体" w:hAnsi="黑体" w:eastAsia="黑体" w:cs="黑体"/>
          <w:sz w:val="32"/>
          <w:szCs w:val="32"/>
        </w:rPr>
        <w:t>第十四章  优化营商环境</w:t>
      </w:r>
      <w:bookmarkEnd w:id="110"/>
      <w:bookmarkEnd w:id="111"/>
      <w:bookmarkEnd w:id="112"/>
      <w:bookmarkEnd w:id="11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坚持市场化、法治化、国际化方向，对标全国先进县，深入实施营商环境重点领域攻坚行动，加快构建有利于市场主体</w:t>
      </w:r>
      <w:r>
        <w:rPr>
          <w:rFonts w:hint="eastAsia" w:ascii="仿宋_GB2312" w:hAnsi="仿宋_GB2312" w:eastAsia="仿宋_GB2312" w:cs="仿宋_GB2312"/>
          <w:spacing w:val="6"/>
          <w:sz w:val="32"/>
          <w:szCs w:val="32"/>
        </w:rPr>
        <w:t>活力竞相迸发的制度环境和政策体系，全面提升营商环境竞争力。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14" w:name="_Toc77152127"/>
      <w:bookmarkStart w:id="115" w:name="_Toc1983"/>
      <w:r>
        <w:rPr>
          <w:rFonts w:hint="eastAsia" w:ascii="楷体_GB2312" w:hAnsi="楷体_GB2312" w:eastAsia="楷体_GB2312" w:cs="楷体_GB2312"/>
          <w:b/>
          <w:bCs/>
          <w:sz w:val="32"/>
          <w:szCs w:val="32"/>
        </w:rPr>
        <w:t>第一节  营造高效便捷的政务环境</w:t>
      </w:r>
      <w:bookmarkEnd w:id="114"/>
      <w:bookmarkEnd w:id="11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化“放管服”改革，精简行政许可事项，推行证明事项和涉企经营许可事项告知承诺制。探索以投资项目承诺制为核心的极简审批，推进政务服务标准化、规范化、便利化，推动“一网通办”前提下“最多跑一次”向“一次不用跑”转变。深化“证照分离”“照后减证”等商事制度改革，完善便利各类市场主体注册经营、及时享受扶持政策、注销退出等机制。加强事中事后监管，完善跨领域、跨部门协同监管机制，全面推行“双随机一公开”监管，对新产业新业态实行包容审慎监管，健全企业全生命周期服务模式和服务链条，坚持和完善首席服务员、企业家日等制度，当好企业的“店小二”。深化营商环境评价和以评促改，持续开展营商环境核心指标提升行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16" w:name="_Toc77152128"/>
      <w:bookmarkStart w:id="117" w:name="_Toc18650"/>
      <w:r>
        <w:rPr>
          <w:rFonts w:hint="eastAsia" w:ascii="楷体_GB2312" w:hAnsi="楷体_GB2312" w:eastAsia="楷体_GB2312" w:cs="楷体_GB2312"/>
          <w:b/>
          <w:bCs/>
          <w:sz w:val="32"/>
          <w:szCs w:val="32"/>
        </w:rPr>
        <w:t>第二节  营造公平公正的法治环境</w:t>
      </w:r>
      <w:bookmarkEnd w:id="116"/>
      <w:bookmarkEnd w:id="11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落实优化营商环境政策措施，加快推进公共法律服务体系建设，营造公平公正的法治环境，依法保护市场主体的人身权、财产权、经营自主权。对涉及市场主体经营活动的规范性文件及时进行专项清理，发现问题及时修改或者废止，清理结果及时向社会公布。严格规范涉企行政执法行为，细化量化行政处罚自由裁量权标准，杜绝执法随意性，不得妨碍企业正常的生产经营活动，提高行政执法规范性和公信力。优化设计市场主体各类案件审理流程，完善破产案件繁简分流机制，健全破产成本支付管理制度，严格案件审理期限，提高办理效率。</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18" w:name="_Toc77152129"/>
      <w:bookmarkStart w:id="119" w:name="_Toc28386"/>
      <w:r>
        <w:rPr>
          <w:rFonts w:hint="eastAsia" w:ascii="楷体_GB2312" w:hAnsi="楷体_GB2312" w:eastAsia="楷体_GB2312" w:cs="楷体_GB2312"/>
          <w:b/>
          <w:bCs/>
          <w:sz w:val="32"/>
          <w:szCs w:val="32"/>
        </w:rPr>
        <w:t>第三节  营造诚信守约的信用环境</w:t>
      </w:r>
      <w:bookmarkEnd w:id="118"/>
      <w:bookmarkEnd w:id="11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落实《河南省社会信用条例》，完善配套政策措施和信用标准规范。建立健全政府诚信履约机制和失信责任追究制度，打造诚信政府。强化公共信用信息归集共享，创新建设横纵渗透、集约高效、智能敏捷、开放共享的新型公共信用信息共享平台。全面构建以信用为基础的新型监管机制，建立市场主体信用记录，完善守信联合激励和失信联合惩戒，健全信用修复机制，开展政务市场主体公共信用综合评价，实施信用分级分类监管。深入推进信用体系与大数据融合发展，拓展信用信息社会化市场化应用场景，创新“信易+”惠民便企产品，提升信用体系建设对实体经济发展的服务能力，加强信用信息安全基础设施和安全防护能力建设，加大个人隐私保护力度，积极培育信用服务市场，弘扬诚信文化，大力推进诚信制度化建设，提高全社会的诚信意识。</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20" w:name="_Toc77152130"/>
      <w:bookmarkStart w:id="121" w:name="_Toc16430"/>
      <w:bookmarkStart w:id="122" w:name="_Toc30335"/>
      <w:r>
        <w:rPr>
          <w:rFonts w:hint="eastAsia" w:ascii="黑体" w:hAnsi="黑体" w:eastAsia="黑体" w:cs="黑体"/>
          <w:sz w:val="32"/>
          <w:szCs w:val="32"/>
        </w:rPr>
        <w:t xml:space="preserve">第十五章 </w:t>
      </w:r>
      <w:bookmarkStart w:id="123" w:name="_Toc11267"/>
      <w:r>
        <w:rPr>
          <w:rFonts w:hint="eastAsia" w:ascii="黑体" w:hAnsi="黑体" w:eastAsia="黑体" w:cs="黑体"/>
          <w:sz w:val="32"/>
          <w:szCs w:val="32"/>
        </w:rPr>
        <w:t xml:space="preserve"> 深化资源要素市场化配置改革</w:t>
      </w:r>
      <w:bookmarkEnd w:id="120"/>
      <w:bookmarkEnd w:id="121"/>
      <w:bookmarkEnd w:id="12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充分发挥市场在资源配置中的决定性作用，扩大要素市场化配置范围，破除阻碍要素自由流动的体制机制，提高资源要素配置效率和全要素生产率。</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24" w:name="_Toc77152131"/>
      <w:bookmarkStart w:id="125" w:name="_Toc17357"/>
      <w:r>
        <w:rPr>
          <w:rFonts w:hint="eastAsia" w:ascii="楷体_GB2312" w:hAnsi="楷体_GB2312" w:eastAsia="楷体_GB2312" w:cs="楷体_GB2312"/>
          <w:b/>
          <w:bCs/>
          <w:sz w:val="32"/>
          <w:szCs w:val="32"/>
        </w:rPr>
        <w:t>第一节  建立健全统一开放的要素市场</w:t>
      </w:r>
      <w:bookmarkEnd w:id="124"/>
      <w:bookmarkEnd w:id="12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快完善城乡统一的建设用地市场，增强土地利用管理和调控灵活性，推进土地复合利用、用途合理转换，增加混合产业用地供给，全面建立工业用地“标准地”出让和全生命周期管理制度，创新存量土地和低效用地盘活利用机制。加快建立协调衔接的劳动力、人才流动政策体系和交流合作机制，畅通劳动力和人才社会流动性渠道。优化金融资源配置，充分利用多层次资本市场，扩大有效金融服务供给，支持实体经济发展。积极探索推动科技成果资本化，鼓励商业银行为促进技术转移转化提供更多金融产品服务。加快培育发展数据要素市场，完善数据权属界定、交流通畅等措施，健全政府数据开放共享、社会数据开发利用和安全保护等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26" w:name="_Toc77152132"/>
      <w:bookmarkStart w:id="127" w:name="_Toc19802"/>
      <w:r>
        <w:rPr>
          <w:rFonts w:hint="eastAsia" w:ascii="楷体_GB2312" w:hAnsi="楷体_GB2312" w:eastAsia="楷体_GB2312" w:cs="楷体_GB2312"/>
          <w:b/>
          <w:bCs/>
          <w:sz w:val="32"/>
          <w:szCs w:val="32"/>
        </w:rPr>
        <w:t>第二节  加快要素价格市场化改革</w:t>
      </w:r>
      <w:bookmarkEnd w:id="126"/>
      <w:bookmarkEnd w:id="12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政府定价机制由制定具体价格水平将制定定价规则转变，引导市场主体依法合理行使要素定价自主权。完善城乡基准地价、标定地价的制定与发布制度，逐步形成与市场价格挂钩动态调整机制。健全最低工资标准，调整工资集体协商和企业薪酬调查制度，完善工资指导价形成机制。建立健全要素价格调查和信息发布制度，加强要素价格行业自律、公示和动态监测预警，完善要素市场价格异常波动调节机制。维护要素市场价格秩序，依法查处垄断协议、滥用市场支配地位、哄抬价格、不按规定明码标价等违规行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28" w:name="_Toc77152133"/>
      <w:bookmarkStart w:id="129" w:name="_Toc17062"/>
      <w:r>
        <w:rPr>
          <w:rFonts w:hint="eastAsia" w:ascii="楷体_GB2312" w:hAnsi="楷体_GB2312" w:eastAsia="楷体_GB2312" w:cs="楷体_GB2312"/>
          <w:b/>
          <w:bCs/>
          <w:sz w:val="32"/>
          <w:szCs w:val="32"/>
        </w:rPr>
        <w:t>第三节  完善要素市场运行机制</w:t>
      </w:r>
      <w:bookmarkEnd w:id="128"/>
      <w:bookmarkEnd w:id="129"/>
    </w:p>
    <w:bookmarkEnd w:id="122"/>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130" w:name="_Toc32721"/>
      <w:r>
        <w:rPr>
          <w:rFonts w:hint="eastAsia" w:ascii="仿宋_GB2312" w:hAnsi="仿宋_GB2312" w:eastAsia="仿宋_GB2312" w:cs="仿宋_GB2312"/>
          <w:sz w:val="32"/>
          <w:szCs w:val="32"/>
        </w:rPr>
        <w:t>拓展公共资源交易平台功能，逐步将平台覆盖范围扩大到适合以市场化方式配置的自然资源、资产股权、环境权等领域，推进全流程电子化交易和交易数据互通共享，鼓励各类所有制企业参与科技成果、数据等要素市场化交易，支持各类金融机构、中介机构开展产权界定、价格评估、流转交易、担保、保险等增值服务。完善国有建设用地使用权转让、出租、抵押的二级市场交易规则，健全城乡用地增减挂钩节余指标、完善耕地指标跨区域交易制度。规范要素交易行为，健全投诉举报查处机制和交易风险防范处置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31" w:name="_Toc77152134"/>
      <w:bookmarkStart w:id="132" w:name="_Toc32605"/>
      <w:r>
        <w:rPr>
          <w:rFonts w:hint="eastAsia" w:ascii="黑体" w:hAnsi="黑体" w:eastAsia="黑体" w:cs="黑体"/>
          <w:sz w:val="32"/>
          <w:szCs w:val="32"/>
        </w:rPr>
        <w:t>第十六章  充分激发市场主体活力</w:t>
      </w:r>
      <w:bookmarkEnd w:id="130"/>
      <w:bookmarkEnd w:id="131"/>
      <w:bookmarkEnd w:id="13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牢牢坚持“两个毫不动摇”，发挥国有经济支撑作用，营造支持非公有制经济高质量发展的环境，培育更有活力、创造力和竞争力的市场主体。</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33" w:name="_Toc77152135"/>
      <w:bookmarkStart w:id="134" w:name="_Toc15383"/>
      <w:bookmarkStart w:id="135" w:name="_Toc6875"/>
      <w:r>
        <w:rPr>
          <w:rFonts w:hint="eastAsia" w:ascii="楷体_GB2312" w:hAnsi="楷体_GB2312" w:eastAsia="楷体_GB2312" w:cs="楷体_GB2312"/>
          <w:b/>
          <w:bCs/>
          <w:sz w:val="32"/>
          <w:szCs w:val="32"/>
        </w:rPr>
        <w:t>第一节  推进国有经济改革发展</w:t>
      </w:r>
      <w:bookmarkEnd w:id="133"/>
      <w:bookmarkEnd w:id="13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推进国有投融资公司股份合作制改革，整合豫资公司、综投公司、城投公司资源，盘活现有资产资源，加快构建完全独立法人公司，聘请专业管理团队，有效开发土地、河沙等公共资源，壮大资本实力，增强投融资和国有资本运营能力。加快推进各类园区管理体制向“管委会+投资公司+服务平台”模式转型。创新公益性事业单位体制机制，推动从事生产经营活动的事业单位改制，增强自身发展活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36" w:name="_Toc77152136"/>
      <w:bookmarkStart w:id="137" w:name="_Toc4918"/>
      <w:r>
        <w:rPr>
          <w:rFonts w:hint="eastAsia" w:ascii="楷体_GB2312" w:hAnsi="楷体_GB2312" w:eastAsia="楷体_GB2312" w:cs="楷体_GB2312"/>
          <w:b/>
          <w:bCs/>
          <w:sz w:val="32"/>
          <w:szCs w:val="32"/>
        </w:rPr>
        <w:t>第二节  大力促进民营经济发展</w:t>
      </w:r>
      <w:bookmarkEnd w:id="136"/>
      <w:bookmarkEnd w:id="13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支持民营企业、中小微企业和个体工商户发展的政策体系，落实国家减税降费政策，健全清理和防止拖欠账款的长效机制。支持民营企业融资增信和直接融资，增加面向民营企业和中小企业的金融服务供给，合理提高民营企业中长期贷款信用贷款投放比例，鼓励民营企业通过发行债券的方式筹集长期性、低成本资金。持续开展“两个健康”百县提升</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rPr>
        <w:t>“一联三帮”保企稳业专项行动，推动民营企业改革创新、转型升级、健康发展，争创“两个健康”示范县。弘扬企业家精神，加快培育发展头雁企业、冠军企业和专精特新企业。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38" w:name="_Toc77152137"/>
      <w:bookmarkStart w:id="139" w:name="_Toc29730"/>
      <w:r>
        <w:rPr>
          <w:rFonts w:hint="eastAsia" w:ascii="楷体_GB2312" w:hAnsi="楷体_GB2312" w:eastAsia="楷体_GB2312" w:cs="楷体_GB2312"/>
          <w:b/>
          <w:bCs/>
          <w:sz w:val="32"/>
          <w:szCs w:val="32"/>
        </w:rPr>
        <w:t>第三节  构建亲清政商关系</w:t>
      </w:r>
      <w:bookmarkEnd w:id="138"/>
      <w:bookmarkEnd w:id="13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依法保护企业家权益，畅通企业家提出意见诉求通道，建立健全规范化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机制化政企沟通渠道，鼓励行业协会商会、人民团体在政企沟通中发挥建设性作用，支持优秀民营企业家在群团组织中兼职。建立面向企业家的党委、政府决策咨询制度，选聘优秀企业家作为经济顾问，列席全县重要经济工作会议，参与涉企重大政策制定。加强涉企政策宣传解读和执行监督，健全评估调整程序，必要时合理设置缓冲过渡期。规范党政领导干部与民营经济人士联系交往，坚持正面清单引导和负面清单约束并重，做到“亲”而有度、“清”而有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40" w:name="_Toc77152138"/>
      <w:bookmarkStart w:id="141" w:name="_Toc13306"/>
      <w:bookmarkStart w:id="142" w:name="_Toc33630673"/>
      <w:r>
        <w:rPr>
          <w:rFonts w:hint="eastAsia" w:ascii="黑体" w:hAnsi="黑体" w:eastAsia="黑体" w:cs="黑体"/>
          <w:sz w:val="32"/>
          <w:szCs w:val="32"/>
        </w:rPr>
        <w:t>第十七章  保障市场公平竞争</w:t>
      </w:r>
      <w:bookmarkEnd w:id="140"/>
      <w:bookmarkEnd w:id="14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全面完善产权保护、市场准入、公平竞争等制度，强化竞争政策基础地位，筑牢市场经济有效运行的体制基础。</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43" w:name="_Toc77152139"/>
      <w:bookmarkStart w:id="144" w:name="_Toc19531"/>
      <w:r>
        <w:rPr>
          <w:rFonts w:hint="eastAsia" w:ascii="楷体_GB2312" w:hAnsi="楷体_GB2312" w:eastAsia="楷体_GB2312" w:cs="楷体_GB2312"/>
          <w:b/>
          <w:bCs/>
          <w:sz w:val="32"/>
          <w:szCs w:val="32"/>
        </w:rPr>
        <w:t xml:space="preserve">第一节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加大产权保护力度</w:t>
      </w:r>
      <w:bookmarkEnd w:id="143"/>
      <w:bookmarkEnd w:id="14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平等保护国有、民营、外资等各种所有制企业产权，健全股权纠纷、合同违约、债权追偿解决机制和劳动用工、对外担保机制，严肃查处各类侵害企业合法权益的行为。完善知识产权保护、应用和服务体系，有效执行侵权惩罚性赔偿制度，加强企业商业秘密和新领域新业态知识产权保护，健全知识产权维护维权服务网络和产权纠纷多元化解机制，不断提高知识产权保护工作法制化、制度化水平。健全自然资源资产产权制度，推进统一确权登记、有偿使用和竞争性配置。建立健全涉政府产权纠纷治理长效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45" w:name="_Toc77152140"/>
      <w:bookmarkStart w:id="146" w:name="_Toc15542"/>
      <w:r>
        <w:rPr>
          <w:rFonts w:hint="eastAsia" w:ascii="楷体_GB2312" w:hAnsi="楷体_GB2312" w:eastAsia="楷体_GB2312" w:cs="楷体_GB2312"/>
          <w:b/>
          <w:bCs/>
          <w:sz w:val="32"/>
          <w:szCs w:val="32"/>
        </w:rPr>
        <w:t xml:space="preserve">第二节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持续放宽市场准入</w:t>
      </w:r>
      <w:bookmarkEnd w:id="145"/>
      <w:bookmarkEnd w:id="14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实施市场准入负面清单制度，严格落实“全国一张清单”管理模式和统一代码体系。支持民营企业参与电力、电信、天然气等重点行业和领域的竞争性业务，保障民营企业在要素获取、准入许可、经营运行等方面享受平等待遇。加强市场准入负面清单宣传解读，提升准入政策透明度和负面清单使用便捷性，定期评估、排查、清理影响市场准入的各类显性和隐性壁垒，推动“非禁即入”普遍落实。</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47" w:name="_Toc77152141"/>
      <w:bookmarkStart w:id="148" w:name="_Toc15500"/>
      <w:r>
        <w:rPr>
          <w:rFonts w:hint="eastAsia" w:ascii="黑体" w:hAnsi="黑体" w:eastAsia="黑体" w:cs="黑体"/>
          <w:sz w:val="32"/>
          <w:szCs w:val="32"/>
        </w:rPr>
        <w:t>第十八章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 xml:space="preserve"> 提升政府治理能力</w:t>
      </w:r>
      <w:bookmarkEnd w:id="147"/>
      <w:bookmarkEnd w:id="14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健全职责明确，依法行政的政府治理体系，优化服务方式，提高行政效能，建设人民满意的服务型政府。</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49" w:name="_Toc77152142"/>
      <w:bookmarkStart w:id="150" w:name="_Toc4661"/>
      <w:r>
        <w:rPr>
          <w:rFonts w:hint="eastAsia" w:ascii="楷体_GB2312" w:hAnsi="楷体_GB2312" w:eastAsia="楷体_GB2312" w:cs="楷体_GB2312"/>
          <w:b/>
          <w:bCs/>
          <w:sz w:val="32"/>
          <w:szCs w:val="32"/>
        </w:rPr>
        <w:t>第一节  加快转政府职能</w:t>
      </w:r>
      <w:bookmarkEnd w:id="149"/>
      <w:bookmarkEnd w:id="15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政府治理体系，全面实行政府权责清单制度和涉企经营许可事项清单管理，最大限度减少市场资源配置和微观经济活动的直接干预。完善公共参与、专家论证、风险评估、合法性审查和集体讨论决定等重大行政决策程序，健全重大政策事前评估和事后评价制度。稳步推进统一政府信息公开平台建设，全面推进决策、执行、管理、服务、结果公开。加强宏观经济运行调节，推进统计现代化改革，健全宏观经济政策和市场信息权威发布机制。深化行业协会商会与行政机关脱钩改革，加快建立公开透明的中介服务市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51" w:name="_Toc77152143"/>
      <w:bookmarkStart w:id="152" w:name="_Toc30828"/>
      <w:r>
        <w:rPr>
          <w:rFonts w:hint="eastAsia" w:ascii="楷体_GB2312" w:hAnsi="楷体_GB2312" w:eastAsia="楷体_GB2312" w:cs="楷体_GB2312"/>
          <w:b/>
          <w:bCs/>
          <w:sz w:val="32"/>
          <w:szCs w:val="32"/>
        </w:rPr>
        <w:t xml:space="preserve">第二节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深化财税金融改革</w:t>
      </w:r>
      <w:bookmarkEnd w:id="142"/>
      <w:bookmarkEnd w:id="151"/>
      <w:bookmarkEnd w:id="15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财政税源统筹，强化中期财政规划管理，增强重大战略任务财力保障。深化预算管理制度改革，探索实施零基预算，加强各类预算统筹衔接，推进财政支出标准化，强化预算约束和绩效管理。改进完善财政资金投资模式，发挥好政府投资基金、政府专项债券撬动作用。落实税收征管制度改革任务，统筹推进非税收入改革，提高税收征管效能。建立健全金融监管体系，强化功能监管、行为监管，加强薄弱环节金融监管制度建设。发展完善证券、基金、信托、融资担保公司、小贷公司、融资租赁公司、区域股权交易所、资产管理公司、典当行、社会众筹机构等，推动企业上市挂牌，拓宽融资渠道。</w:t>
      </w:r>
    </w:p>
    <w:bookmarkEnd w:id="135"/>
    <w:p>
      <w:pPr>
        <w:keepNext w:val="0"/>
        <w:keepLines w:val="0"/>
        <w:pageBreakBefore w:val="0"/>
        <w:widowControl w:val="0"/>
        <w:kinsoku/>
        <w:wordWrap/>
        <w:overflowPunct/>
        <w:topLinePunct w:val="0"/>
        <w:autoSpaceDE/>
        <w:autoSpaceDN/>
        <w:bidi w:val="0"/>
        <w:adjustRightInd/>
        <w:snapToGrid/>
        <w:spacing w:before="313" w:beforeLines="100" w:after="313" w:afterLines="100"/>
        <w:ind w:firstLine="0" w:firstLineChars="0"/>
        <w:jc w:val="center"/>
        <w:textAlignment w:val="auto"/>
        <w:outlineLvl w:val="0"/>
        <w:rPr>
          <w:rFonts w:hint="eastAsia" w:ascii="黑体" w:hAnsi="黑体" w:eastAsia="黑体" w:cs="黑体"/>
          <w:b w:val="0"/>
          <w:bCs w:val="0"/>
          <w:sz w:val="32"/>
          <w:szCs w:val="32"/>
        </w:rPr>
      </w:pPr>
      <w:bookmarkStart w:id="153" w:name="_Toc77152144"/>
      <w:bookmarkStart w:id="154" w:name="_Toc7202"/>
      <w:bookmarkStart w:id="155" w:name="_Toc52961969"/>
      <w:bookmarkStart w:id="156" w:name="_Toc1325"/>
      <w:r>
        <w:rPr>
          <w:rFonts w:hint="eastAsia" w:ascii="黑体" w:hAnsi="黑体" w:eastAsia="黑体" w:cs="黑体"/>
          <w:b w:val="0"/>
          <w:bCs w:val="0"/>
          <w:sz w:val="32"/>
          <w:szCs w:val="32"/>
        </w:rPr>
        <w:t>第五篇  建设现代化基础设施体系</w:t>
      </w:r>
      <w:bookmarkEnd w:id="153"/>
      <w:bookmarkEnd w:id="15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适度超前、整体优化、协同融合，统筹推进新型基础设施建设和传统基础设施改造提升，加快建设系统完备、高效实用、智能绿色、安全可靠的现代化基础设施体系，全面提升交通、能源、水利基础设施建设、管理、运营水平和服务效能。</w:t>
      </w:r>
      <w:bookmarkStart w:id="157" w:name="_Toc53226714"/>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58" w:name="_Toc77152145"/>
      <w:bookmarkStart w:id="159" w:name="_Toc18979"/>
      <w:r>
        <w:rPr>
          <w:rFonts w:hint="eastAsia" w:ascii="黑体" w:hAnsi="黑体" w:eastAsia="黑体" w:cs="黑体"/>
          <w:sz w:val="32"/>
          <w:szCs w:val="32"/>
        </w:rPr>
        <w:t>第十九章  推进引领未来的新型基础设施建设</w:t>
      </w:r>
      <w:bookmarkEnd w:id="158"/>
      <w:bookmarkEnd w:id="15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快建设信息基础设施、整合基础设施、创新基础设施等新型基础设施，增强对数字转型、智能升级、整合创新的支撑能力。落实“全光网河南”升级行动，推进5G网络规模部署，实现城市家庭千兆宽带、农村家庭百兆光纤和乡镇以上5G网络全覆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推进传统基础设施数字化改造升级，拓展“数字+”“智能+”应用领域，提升智慧化管理和运营水平。加快交通基础设施智能化升级，建设智慧枢纽、智慧港口、智慧公路，推进重要路段和节点的交通感知网络覆盖，开展车路协同网络试点推广。加快电网基础设施智能化改造、智能微电网和充电桩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60" w:name="_Toc77152146"/>
      <w:bookmarkStart w:id="161" w:name="_Toc24612"/>
      <w:r>
        <w:rPr>
          <w:rFonts w:hint="eastAsia" w:ascii="黑体" w:hAnsi="黑体" w:eastAsia="黑体" w:cs="黑体"/>
          <w:sz w:val="32"/>
          <w:szCs w:val="32"/>
        </w:rPr>
        <w:t>第二十章  完善现代交通运输网络</w:t>
      </w:r>
      <w:bookmarkEnd w:id="160"/>
      <w:bookmarkEnd w:id="161"/>
    </w:p>
    <w:bookmarkEnd w:id="157"/>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以综合交通运输“转型提升”为核心,重点推进交通基础设施建设,到2025年,打造公路、水运现代综合交通运输体系,完善客运场站建设,优化城乡客运与城市公交衔接,适应商水经济和社会发展的需要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发挥各种运输方式的比较优势和综合交通的整体效益,推进交通建设管理体制改革和机制创新,适应商水经济社会基本现代化要求。</w:t>
      </w:r>
      <w:r>
        <w:rPr>
          <w:rFonts w:hint="eastAsia" w:ascii="仿宋_GB2312" w:hAnsi="仿宋_GB2312" w:eastAsia="仿宋_GB2312" w:cs="仿宋_GB2312"/>
          <w:sz w:val="32"/>
          <w:szCs w:val="32"/>
          <w:lang w:eastAsia="zh-CN"/>
        </w:rPr>
        <w:t>规划</w:t>
      </w:r>
      <w:r>
        <w:rPr>
          <w:rFonts w:hint="eastAsia" w:ascii="仿宋_GB2312" w:hAnsi="仿宋_GB2312" w:eastAsia="仿宋_GB2312" w:cs="仿宋_GB2312"/>
          <w:sz w:val="32"/>
          <w:szCs w:val="32"/>
        </w:rPr>
        <w:t>实施商水柴湾港口物流园区、沙颖河临港产业园区、商水县铁路仓储物流建设，促进商水</w:t>
      </w:r>
      <w:r>
        <w:rPr>
          <w:rFonts w:hint="eastAsia" w:ascii="仿宋_GB2312" w:hAnsi="仿宋_GB2312" w:eastAsia="仿宋_GB2312" w:cs="仿宋_GB2312"/>
          <w:sz w:val="32"/>
          <w:szCs w:val="32"/>
          <w:lang w:eastAsia="zh-CN"/>
        </w:rPr>
        <w:t>现代物流业</w:t>
      </w:r>
      <w:r>
        <w:rPr>
          <w:rFonts w:hint="eastAsia" w:ascii="仿宋_GB2312" w:hAnsi="仿宋_GB2312" w:eastAsia="仿宋_GB2312" w:cs="仿宋_GB2312"/>
          <w:sz w:val="32"/>
          <w:szCs w:val="32"/>
        </w:rPr>
        <w:t>发展。着重提升县乡道，加大通村入组道路建设，形成相邻县市通过二级公路相连，相邻乡镇通过三级公路相连，相邻行政村通过四级公路相连，自然村中油路达到100%。推进城乡客运一体化发展，实施城市外环国道、省道延伸联网公路、客运站场建设，完善城乡公交通勤系统，提供更加便捷的出行方式。加强水运渡口基础设施建设，完善铁路、公路、水运多式联运物流枢纽，加快建成现代综合交通运输体系。</w:t>
      </w:r>
      <w:bookmarkStart w:id="162" w:name="_Toc53226715"/>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63" w:name="_Toc77152147"/>
      <w:bookmarkStart w:id="164" w:name="_Toc15302"/>
      <w:r>
        <w:rPr>
          <w:rFonts w:hint="eastAsia" w:ascii="黑体" w:hAnsi="黑体" w:eastAsia="黑体" w:cs="黑体"/>
          <w:sz w:val="32"/>
          <w:szCs w:val="32"/>
        </w:rPr>
        <w:t>第二十一章  建设现代能源体系</w:t>
      </w:r>
      <w:bookmarkEnd w:id="162"/>
      <w:bookmarkEnd w:id="163"/>
      <w:bookmarkEnd w:id="16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推进能源革命，优化能源供给结构，提高能源利用效率。坚持集中式与分散式并举，积极开发风电、光伏发电、垃圾发电和余热发电等新能源。加快输变电网智能化改造，优化电力需求侧管理，加强增量配电网建设，提高可再生能源、分布式能源广泛接入、就地消纳和送出能力，促进智能互联，消除城乡供电服务差距，形成各电压等级灵活调配、多元化负荷安全接入的坚强智能电网。统筹布局加油、加气、充（换）电、加氢等设施。优化布局电力、燃气、热力、供暖、供冷管廊等基础设施建设，通过分布式可再生能源、储能和智能微网等方式，实现多能互补、协同高效、终端一体化的集成功能系统。探索开展新能源物联网的应用，运用智能技术，把发电、储能、配电、用能和控制结合起来，构建一个新的能源互联网体系，实现数据驱动的智能化。实施民用天然气全域覆盖行动。加强天然气输供管网及储气站建设，“十四五”末实现城乡100%“双替代”。</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65" w:name="_Toc77152148"/>
      <w:bookmarkStart w:id="166" w:name="_Toc53226716"/>
      <w:bookmarkStart w:id="167" w:name="_Toc5856"/>
      <w:r>
        <w:rPr>
          <w:rFonts w:hint="eastAsia" w:ascii="黑体" w:hAnsi="黑体" w:eastAsia="黑体" w:cs="黑体"/>
          <w:sz w:val="32"/>
          <w:szCs w:val="32"/>
        </w:rPr>
        <w:t>第二十二章  加快推进水利现代化</w:t>
      </w:r>
      <w:bookmarkEnd w:id="165"/>
      <w:bookmarkEnd w:id="166"/>
      <w:bookmarkEnd w:id="16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高效利用水资源、系统修复水生态、综合治理水环境、科学防治水灾害，大力实施以河道水系治理、畅通航道、水源地保护等为主的水利现代化工程，完善水利基础设施网络。坚持“四水同治”，落实河长制，加快南水北调蓄水库、灌区节水配套改造、主要河道节制闸、饮用水源地保护和防洪排涝骨干工程建设，高标准完成沙颍河、汾河、清水河、大雁沟、南干渠水系治理、河堤加固、清淤疏浚、河岸景观工程建设。统筹推进城乡供水一体化，实现清洁安全饮水全覆盖。强化对水文、气象、地灾、雨情、凌情、旱情等状况的动态监测和科学分析，建立健全“清四乱”长效机制，打造水生态文明示范县。</w:t>
      </w:r>
    </w:p>
    <w:p>
      <w:pPr>
        <w:pStyle w:val="2"/>
        <w:rPr>
          <w:rFonts w:hint="eastAsia"/>
        </w:rPr>
      </w:pPr>
    </w:p>
    <w:p>
      <w:pPr>
        <w:pStyle w:val="2"/>
        <w:rPr>
          <w:rFonts w:hint="eastAsia"/>
        </w:rPr>
      </w:pPr>
    </w:p>
    <w:tbl>
      <w:tblPr>
        <w:tblStyle w:val="26"/>
        <w:tblW w:w="86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8680"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专栏6  现代基础设施网络建设重大工程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78" w:hRule="atLeast"/>
          <w:jc w:val="center"/>
        </w:trPr>
        <w:tc>
          <w:tcPr>
            <w:tcW w:w="8680"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1、交通网络提升重点工程。抓紧建成汝阳路至周口永丰路连接工程、周口中原路连接</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工程、商水S102线之周口武盛大道连接线工程、五一路、工农路于周口对接工程；改建县乡公路</w:t>
            </w:r>
            <w:r>
              <w:rPr>
                <w:rFonts w:hint="eastAsia" w:ascii="仿宋_GB2312" w:hAnsi="仿宋_GB2312" w:eastAsia="仿宋_GB2312" w:cs="仿宋_GB2312"/>
                <w:sz w:val="24"/>
                <w:szCs w:val="24"/>
                <w:lang w:eastAsia="zh-CN"/>
              </w:rPr>
              <w:t>、产业路、旅游线路</w:t>
            </w:r>
            <w:r>
              <w:rPr>
                <w:rFonts w:hint="eastAsia" w:ascii="仿宋_GB2312" w:hAnsi="仿宋_GB2312" w:eastAsia="仿宋_GB2312" w:cs="仿宋_GB2312"/>
                <w:sz w:val="24"/>
                <w:szCs w:val="24"/>
                <w:lang w:val="en-US" w:eastAsia="zh-CN"/>
              </w:rPr>
              <w:t>327.6</w:t>
            </w:r>
            <w:r>
              <w:rPr>
                <w:rFonts w:hint="eastAsia" w:ascii="仿宋_GB2312" w:hAnsi="仿宋_GB2312" w:eastAsia="仿宋_GB2312" w:cs="仿宋_GB2312"/>
                <w:sz w:val="24"/>
                <w:szCs w:val="24"/>
              </w:rPr>
              <w:t>公里，通村公路3</w:t>
            </w:r>
            <w:r>
              <w:rPr>
                <w:rFonts w:hint="eastAsia" w:ascii="仿宋_GB2312" w:hAnsi="仿宋_GB2312" w:eastAsia="仿宋_GB2312" w:cs="仿宋_GB2312"/>
                <w:sz w:val="24"/>
                <w:szCs w:val="24"/>
                <w:lang w:val="en-US" w:eastAsia="zh-CN"/>
              </w:rPr>
              <w:t>00</w:t>
            </w:r>
            <w:r>
              <w:rPr>
                <w:rFonts w:hint="eastAsia" w:ascii="仿宋_GB2312" w:hAnsi="仿宋_GB2312" w:eastAsia="仿宋_GB2312" w:cs="仿宋_GB2312"/>
                <w:sz w:val="24"/>
                <w:szCs w:val="24"/>
              </w:rPr>
              <w:t>公里，改建危桥66座，循环经济产业园生态廊道、地下管网8.217公里，实现相邻县市二级公路相连，相邻乡镇三级公路相连，相邻行政村四级公路相连；</w:t>
            </w:r>
            <w:r>
              <w:rPr>
                <w:rFonts w:hint="eastAsia" w:ascii="仿宋_GB2312" w:hAnsi="仿宋_GB2312" w:eastAsia="仿宋_GB2312" w:cs="仿宋_GB2312"/>
                <w:sz w:val="24"/>
                <w:szCs w:val="24"/>
                <w:lang w:eastAsia="zh-CN"/>
              </w:rPr>
              <w:t>规划</w:t>
            </w:r>
            <w:r>
              <w:rPr>
                <w:rFonts w:hint="eastAsia" w:ascii="仿宋_GB2312" w:hAnsi="仿宋_GB2312" w:eastAsia="仿宋_GB2312" w:cs="仿宋_GB2312"/>
                <w:sz w:val="24"/>
                <w:szCs w:val="24"/>
              </w:rPr>
              <w:t>建设商水客运联营西站。</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2、水利重大项目。农村供水保障工程</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计划总投资5.5亿元，新建南水北调净水厂1座，沙颍河水地表净化水厂1座；对邓城镇、谭庄镇等7处乡镇水厂进行管网设施升级改造，总受益人口约121.1万人。推进生态水系及连通工程。对清水河、护城河、大雁沟、大兴沟、马门总干渠进行治理，进一步提升区域水资源配置能力，改善水环境。推进沙河、汾河、青龙沟、黄碱沟、界沟河等中小河流治理，完善和配套防汛预报预警体系建设，提升应急保障能力。搞好水生态水环境整治，巩固黑臭水体治理成果，推进南干区、清水河水环境综合治理</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南水北调调蓄水库建设</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该工程蓄水容量为45万吨，总投资8546万元。</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输变电网改造建设。（1）220kV电网建设：新建220kV变电站1座，新增变电容量360MVA；扩建220kV变电站1座，新增容量180MVA。（2）110kV电网建设：新建110kV变电站4座，新增变电容量200MVA；扩建变电站3座，新增变电容量150MVA。至2025年，商水电网共有110kV变电站10座，总容量830MVA。规划新建110kV线路79km。（3）中压电网建设：2019～2025年，商水电网变电站新出10kV线路77回，线路总长度611km，新建架空线路473km，电缆线路138km；新建开关站1座，环网箱60面，柱上开关163个，配变673台。</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4、智慧能源平台建设。一是智能化能源局域网建设项目。 构建基于公共互联网和专业化智能化的能源局域网各专业子系统平台，实现纵向分类、横向分层、柔性重构、统筹优化、智能管控的分布式集群区域智慧能源网。二是智慧能源系统建设项目。通过专业化智能插件构成安装方便、界面统一、操作容易、交互便捷、智能处理的专业化能源供需源的监控调节系统平台。 三是分布式能源就近消纳交易平台建设项目。构建智能化能源互联互通、公平自主、就近消纳、科学高效的能源交易平台。四是供能用能创新创业支撑平台建设项目。实时提供供能用能创新创业服务，项目提交、项目审核、项目协议、项目实施督导、项目跟踪服务、项目结算以及项目退出的互动智能化服务平台。五是供能用能便民服务平台建设项目。平台内容包括绿色出行信息、绿色能源信息、用户互动和需求响应、信息咨询、服务指南以及便民服务信息发布和公示等。</w:t>
            </w:r>
          </w:p>
        </w:tc>
      </w:tr>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168" w:name="_Toc77152149"/>
      <w:bookmarkStart w:id="169" w:name="_Toc9921"/>
      <w:r>
        <w:rPr>
          <w:rFonts w:hint="eastAsia" w:ascii="黑体" w:hAnsi="黑体" w:eastAsia="黑体" w:cs="黑体"/>
          <w:sz w:val="32"/>
          <w:szCs w:val="32"/>
        </w:rPr>
        <w:t>第六篇  加快</w:t>
      </w:r>
      <w:bookmarkEnd w:id="155"/>
      <w:bookmarkEnd w:id="156"/>
      <w:r>
        <w:rPr>
          <w:rFonts w:hint="eastAsia" w:ascii="黑体" w:hAnsi="黑体" w:eastAsia="黑体" w:cs="黑体"/>
          <w:sz w:val="32"/>
          <w:szCs w:val="32"/>
        </w:rPr>
        <w:t>推进新型城镇化</w:t>
      </w:r>
      <w:bookmarkEnd w:id="168"/>
      <w:bookmarkEnd w:id="16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快推进周商一体化建设和规划、功能、经营、智慧城市融合化发展，大力实施城市全面提质扩能工程，增强县城辐射带动能力和承载能力，推动县域经济向都市区经济转型，优化城镇体系空间布局，有效实施城乡联动战略，推动城乡融合高质量发展。</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70" w:name="_Toc33630642"/>
      <w:bookmarkStart w:id="171" w:name="_Toc10972"/>
      <w:bookmarkStart w:id="172" w:name="_Toc77152150"/>
      <w:bookmarkStart w:id="173" w:name="_Toc4615"/>
      <w:r>
        <w:rPr>
          <w:rFonts w:hint="eastAsia" w:ascii="黑体" w:hAnsi="黑体" w:eastAsia="黑体" w:cs="黑体"/>
          <w:sz w:val="32"/>
          <w:szCs w:val="32"/>
        </w:rPr>
        <w:t>第二十三章  高水平建设中心城</w:t>
      </w:r>
      <w:bookmarkEnd w:id="170"/>
      <w:r>
        <w:rPr>
          <w:rFonts w:hint="eastAsia" w:ascii="黑体" w:hAnsi="黑体" w:eastAsia="黑体" w:cs="黑体"/>
          <w:sz w:val="32"/>
          <w:szCs w:val="32"/>
        </w:rPr>
        <w:t>区</w:t>
      </w:r>
      <w:bookmarkEnd w:id="171"/>
      <w:bookmarkEnd w:id="172"/>
      <w:bookmarkEnd w:id="17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按照高起点规划、高标准建设、高水平管理、高效益经营的工作思路，实施城市规划、建设、生态、文化、开放、创新、管理、服务功能八大提升工程，增强城区人口集聚能力和辐射带动能力。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74" w:name="_Toc17447"/>
      <w:bookmarkStart w:id="175" w:name="_Toc77152151"/>
      <w:r>
        <w:rPr>
          <w:rFonts w:hint="eastAsia" w:ascii="楷体_GB2312" w:hAnsi="楷体_GB2312" w:eastAsia="楷体_GB2312" w:cs="楷体_GB2312"/>
          <w:b/>
          <w:bCs/>
          <w:sz w:val="32"/>
          <w:szCs w:val="32"/>
        </w:rPr>
        <w:t>第一节  高起点规划</w:t>
      </w:r>
      <w:bookmarkEnd w:id="174"/>
      <w:bookmarkEnd w:id="17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围绕周商同城发展，完善提升国土空间规划，统筹考虑土地利用、城乡建设、生态环境、产业发展，修订完善各类规划，形成商水县与现有中心城区发展规划一张图。进一步修订完善11.2平方公里老城片区、20平方公里城东新区的城市设计，完成9个重点镇控规和城区水系等29个专项规划。适时启动城关、汤庄改为街道办事处。到2025年，建成区面积达到50平方公里，常住人口达到45万人左右。坚持以产兴城、以水润城、以绿荫城、以文化城，推动城市规划、建设、开放、创新、生态、文化、管理和服务功能“八大提升”。</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76" w:name="_Toc77152152"/>
      <w:bookmarkStart w:id="177" w:name="_Toc17372"/>
      <w:r>
        <w:rPr>
          <w:rFonts w:hint="eastAsia" w:ascii="楷体_GB2312" w:hAnsi="楷体_GB2312" w:eastAsia="楷体_GB2312" w:cs="楷体_GB2312"/>
          <w:b/>
          <w:bCs/>
          <w:sz w:val="32"/>
          <w:szCs w:val="32"/>
        </w:rPr>
        <w:t>第二节  高标准建设</w:t>
      </w:r>
      <w:bookmarkEnd w:id="176"/>
      <w:bookmarkEnd w:id="17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围绕百城建设提质三年行动计划，加快实施一批路网工程、绿化工程、亮化工程等，积极推进“三改一治一提升”（三改即老旧社区&lt;棚户区&gt;改造、农村村庄改造、交通干线改扩建，一治即四水同治，一提升即城市功能品质提升），高标准推进城市道路、停车场、交通安全、无障碍设施等建设，完善公交专用道、非机动车和行人交通系统、行人过街设施、城市休闲街区、绿道、骑行公园、慢行系统，丰富城市休闲空间。加快供水设施、市政管网等地下基础设施改造与建设，形成“双排双供”新型城镇排水系统。加强从源头到龙头的全流程公共供水保障，扩大供水管网覆盖范围。完善燃气储气设施和燃气管网，加快建设液化天然气局域供气网络，发展热电联产集中供热及清洁能源集中供热。加快强弱电入地工程建设。严格执行新建小区停车位、充电桩等配建标准。抓好森林公园二期、南水北调蓄水库、南干渠综合整治和沿河生态景观绿化工程、清风公园等重点生态项目建设，推动防洪除涝与调蓄、水资源保障、污水垃圾处理、园林绿地等生态环保设施提级扩能，建设海绵城市，发展郊野公园，完善防护林网和城市生态圈，加强防洪防涝、雨水径流排放、调蓄和雨污分流设施建设，提高城市建筑和基础设施抗灾能力，营造良好的城市生态环境，提高城市宜业宜居品质。推进老城区风貌更新。以背街小巷整治、老旧社区改造、打通微循环为着力点，完善基础设施和公共服务配套，引导发展社区便民服务，改造建设商业步行街、文化娱乐街、休闲美食街等特色商圈。统筹教育、卫生、就业、社保、文体、退役军人服务、儿童关爱保护等基本和非基本公共服务项目以及维稳信访等管理职能，推进家政等便民服务进社区，打造综合性多功能的美好生活服务站。</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78" w:name="_Toc27823"/>
      <w:bookmarkStart w:id="179" w:name="_Toc77152153"/>
      <w:r>
        <w:rPr>
          <w:rFonts w:hint="eastAsia" w:ascii="楷体_GB2312" w:hAnsi="楷体_GB2312" w:eastAsia="楷体_GB2312" w:cs="楷体_GB2312"/>
          <w:b/>
          <w:bCs/>
          <w:sz w:val="32"/>
          <w:szCs w:val="32"/>
        </w:rPr>
        <w:t>第三节  高水平管理</w:t>
      </w:r>
      <w:bookmarkEnd w:id="178"/>
      <w:bookmarkEnd w:id="17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优化城市设计，科学有效管控城市空间立体性、平面协调性、风貌整体性、文脉延续性，推动城市建设由注重外延扩张向注重内涵发展转变。加强城市防洪、防风、防冰雹、抗震、消防、排水、防涝等设施建设，提高城市建筑灾害设防标准，前瞻布局城市生命线系统、应急救援和物资储备系统，完善重要区位人防工程，强化重要基础设施全生命周期维护管理和人口密集场所安全监管，建设韧性城市。大力实施城市“四治”，推动城市精细化管理。深化以社区为主体的城市网格化管理，加强物业服务监管，加快城市美化工程，打造精致城市空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80" w:name="_Toc77152154"/>
      <w:bookmarkStart w:id="181" w:name="_Toc31696"/>
      <w:r>
        <w:rPr>
          <w:rFonts w:hint="eastAsia" w:ascii="楷体_GB2312" w:hAnsi="楷体_GB2312" w:eastAsia="楷体_GB2312" w:cs="楷体_GB2312"/>
          <w:b/>
          <w:bCs/>
          <w:sz w:val="32"/>
          <w:szCs w:val="32"/>
        </w:rPr>
        <w:t>第四节  高效益经营</w:t>
      </w:r>
      <w:bookmarkEnd w:id="180"/>
      <w:bookmarkEnd w:id="18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创新城市经营理念，运用市场化机制，推进公共资源有效开发，引入社会资金对特色商业街区、时尚消费街区、老旧小区等进行捆绑式开发。加快推进集贸市场提档改造和农产品仓储保鲜、物流快递柜等设施建设，健全城市生产生活配套服务网络。规划建设金融机构、投资机构、基金管理公司、资产管理公司、融资担保公司、人才市场、就业创业服务机构、科技市场、产权交易市场、公共资源交易中心、大数据中心等要素市场核心区。在新区规划建设大型商业综合体、城市会客厅和新时代文化广场，加快推进水韵章华城市文商旅综合体、中煦商业综合体、港联世界城文旅综合体建设，打造生态新城、文化新城、活力新城、宜居新城。</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82" w:name="_Toc77152155"/>
      <w:bookmarkStart w:id="183" w:name="_Toc27980"/>
      <w:r>
        <w:rPr>
          <w:rFonts w:hint="eastAsia" w:ascii="楷体_GB2312" w:hAnsi="楷体_GB2312" w:eastAsia="楷体_GB2312" w:cs="楷体_GB2312"/>
          <w:b/>
          <w:bCs/>
          <w:sz w:val="32"/>
          <w:szCs w:val="32"/>
        </w:rPr>
        <w:t>第五节  提高农业转移人口市民化质量</w:t>
      </w:r>
      <w:bookmarkEnd w:id="182"/>
      <w:bookmarkEnd w:id="18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深化户籍制度改革，简化户籍迁移手续，完善线上申请审核系统，有效提高落户便利度。完善利用大数据技术，建立常住人口常态化统计机制，为政策制定提供支撑。加快建立基本公共服务与常住人口挂钩机制，推进城镇基本公共服务由主要对本地户籍人口提供向常住人口提供转变，加强非户籍常住人口住房子、女教育、社会保险等基本公共服务保障。完善财政转移支付和城镇新增建设用地规模与农业转移人口市民化挂钩机制，加大对吸纳落户和提供保障性住房的办事处、镇的基础设施投资补助、建设用地支持力度。</w:t>
      </w:r>
    </w:p>
    <w:p>
      <w:pPr>
        <w:pStyle w:val="2"/>
        <w:rPr>
          <w:rFonts w:hint="eastAsia"/>
        </w:rPr>
      </w:pPr>
    </w:p>
    <w:tbl>
      <w:tblPr>
        <w:tblStyle w:val="26"/>
        <w:tblW w:w="81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158"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专栏 7 中心城区全面提质扩能重点工程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58"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市政基础设施提档升级工程。加快推进周商一体化路网建设，完成武盛大道南延至练集、南环路、城练路建设，建成西二环汤庄至周漯路工程，实现与中心城区主干路网无缝对接；加快城区路网建设，实施纬一路东延（八一路-中原路）、纬五路东延（阳城大道-中原路）、行政路东延（八一路-郝庄）等道路建设。在老城区继续打通断头路，完成纬二路东延（阳城大道-康庄大道）、纬三路东延（阳城大道-康庄大道）、公园路东延（阳城大道-惠民路）、小西环南延北延（章华台路-郑新街）、郑新街西延（建材街-小西环）等道路连通工程，畅通城区动脉循环。加快实施行政路、康庄大道南段、小东环、老城东西大街等道路的升级改造，对城区8个道路十字路口进行改造提升。疏通地下管网，解决城市内涝问题。新建一批停车场、垃圾中转站，公厕等设施。实施城市集中供暖、自来水厂改扩建、老旧城区供水管网改造等项目。新建加油站10座。</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2、公共服务提级扩面工程。</w:t>
            </w:r>
            <w:r>
              <w:rPr>
                <w:rFonts w:hint="eastAsia" w:ascii="仿宋_GB2312" w:hAnsi="仿宋_GB2312" w:eastAsia="仿宋_GB2312" w:cs="仿宋_GB2312"/>
                <w:sz w:val="24"/>
                <w:szCs w:val="24"/>
                <w:lang w:eastAsia="zh-CN"/>
              </w:rPr>
              <w:t>一是</w:t>
            </w:r>
            <w:r>
              <w:rPr>
                <w:rFonts w:hint="eastAsia" w:ascii="仿宋_GB2312" w:hAnsi="仿宋_GB2312" w:eastAsia="仿宋_GB2312" w:cs="仿宋_GB2312"/>
                <w:sz w:val="24"/>
                <w:szCs w:val="24"/>
              </w:rPr>
              <w:t>推进优质教育资源均衡配置。在城东新区规划建设2所公立幼儿园和1所九年一贯制中学，加快北大附属实验学校建设。抓好一高、二高改扩建。</w:t>
            </w:r>
            <w:r>
              <w:rPr>
                <w:rFonts w:hint="eastAsia" w:ascii="仿宋_GB2312" w:hAnsi="仿宋_GB2312" w:eastAsia="仿宋_GB2312" w:cs="仿宋_GB2312"/>
                <w:sz w:val="24"/>
                <w:szCs w:val="24"/>
                <w:lang w:eastAsia="zh-CN"/>
              </w:rPr>
              <w:t>二是</w:t>
            </w:r>
            <w:r>
              <w:rPr>
                <w:rFonts w:hint="eastAsia" w:ascii="仿宋_GB2312" w:hAnsi="仿宋_GB2312" w:eastAsia="仿宋_GB2312" w:cs="仿宋_GB2312"/>
                <w:sz w:val="24"/>
                <w:szCs w:val="24"/>
              </w:rPr>
              <w:t>推进“健康商水”建设，加快实施紧密型县域医共体建设，加快新中医院、新人民医院建设，</w:t>
            </w:r>
            <w:r>
              <w:rPr>
                <w:rFonts w:hint="eastAsia" w:ascii="仿宋_GB2312" w:hAnsi="仿宋_GB2312" w:eastAsia="仿宋_GB2312" w:cs="仿宋_GB2312"/>
                <w:sz w:val="24"/>
                <w:szCs w:val="24"/>
                <w:lang w:eastAsia="zh-CN"/>
              </w:rPr>
              <w:t>规划建设</w:t>
            </w:r>
            <w:r>
              <w:rPr>
                <w:rFonts w:hint="eastAsia" w:ascii="仿宋_GB2312" w:hAnsi="仿宋_GB2312" w:eastAsia="仿宋_GB2312" w:cs="仿宋_GB2312"/>
                <w:sz w:val="24"/>
                <w:szCs w:val="24"/>
              </w:rPr>
              <w:t>传染病医院，新建、改扩建51个标准化卫生室。推进疾控中心标准化建设，配齐疾病监测预警、实验室检测、标本采集、现场处置等设施设备。完善妇幼卫生健康服务机构。</w:t>
            </w:r>
            <w:r>
              <w:rPr>
                <w:rFonts w:hint="eastAsia" w:ascii="仿宋_GB2312" w:hAnsi="仿宋_GB2312" w:eastAsia="仿宋_GB2312" w:cs="仿宋_GB2312"/>
                <w:sz w:val="24"/>
                <w:szCs w:val="24"/>
                <w:lang w:eastAsia="zh-CN"/>
              </w:rPr>
              <w:t>三是</w:t>
            </w:r>
            <w:r>
              <w:rPr>
                <w:rFonts w:hint="eastAsia" w:ascii="仿宋_GB2312" w:hAnsi="仿宋_GB2312" w:eastAsia="仿宋_GB2312" w:cs="仿宋_GB2312"/>
                <w:sz w:val="24"/>
                <w:szCs w:val="24"/>
              </w:rPr>
              <w:t>大力发展养老服务</w:t>
            </w:r>
            <w:r>
              <w:rPr>
                <w:rFonts w:hint="eastAsia" w:ascii="仿宋_GB2312" w:hAnsi="仿宋_GB2312" w:eastAsia="仿宋_GB2312" w:cs="仿宋_GB2312"/>
                <w:sz w:val="24"/>
                <w:szCs w:val="24"/>
                <w:lang w:eastAsia="zh-CN"/>
              </w:rPr>
              <w:t>。新建</w:t>
            </w:r>
            <w:r>
              <w:rPr>
                <w:rFonts w:hint="eastAsia" w:ascii="仿宋_GB2312" w:hAnsi="仿宋_GB2312" w:eastAsia="仿宋_GB2312" w:cs="仿宋_GB2312"/>
                <w:sz w:val="24"/>
                <w:szCs w:val="24"/>
              </w:rPr>
              <w:t>融辉城、王道平等社区养老服务中心，加快综合福利中心建设</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推动婴幼儿照护服务发展，配建残疾人综合服务设施，完善公益性殡葬服务。</w:t>
            </w:r>
            <w:r>
              <w:rPr>
                <w:rFonts w:hint="eastAsia" w:ascii="仿宋_GB2312" w:hAnsi="仿宋_GB2312" w:eastAsia="仿宋_GB2312" w:cs="仿宋_GB2312"/>
                <w:sz w:val="24"/>
                <w:szCs w:val="24"/>
                <w:lang w:eastAsia="zh-CN"/>
              </w:rPr>
              <w:t>四是</w:t>
            </w:r>
            <w:r>
              <w:rPr>
                <w:rFonts w:hint="eastAsia" w:ascii="仿宋_GB2312" w:hAnsi="仿宋_GB2312" w:eastAsia="仿宋_GB2312" w:cs="仿宋_GB2312"/>
                <w:sz w:val="24"/>
                <w:szCs w:val="24"/>
              </w:rPr>
              <w:t>着力加强就业服务</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“十四五”期间新增城镇就业</w:t>
            </w:r>
            <w:r>
              <w:rPr>
                <w:rFonts w:hint="eastAsia" w:ascii="仿宋_GB2312" w:hAnsi="仿宋_GB2312" w:eastAsia="仿宋_GB2312" w:cs="仿宋_GB2312"/>
                <w:sz w:val="24"/>
                <w:szCs w:val="24"/>
                <w:lang w:val="en-US" w:eastAsia="zh-CN"/>
              </w:rPr>
              <w:t>4万</w:t>
            </w:r>
            <w:r>
              <w:rPr>
                <w:rFonts w:hint="eastAsia" w:ascii="仿宋_GB2312" w:hAnsi="仿宋_GB2312" w:eastAsia="仿宋_GB2312" w:cs="仿宋_GB2312"/>
                <w:sz w:val="24"/>
                <w:szCs w:val="24"/>
              </w:rPr>
              <w:t>人，新建社区卫生服务中心15所，新建改扩建社区养老服务中心12家，新增医养结合床位500张。</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生态环境建设提标扩能工程。在城东新区，加快建成南水北调蓄水库、森林公园二期、市民广场等项目建设；在老城区，加快建成南干渠综合整治工程及沿渠生态景观绿化工程、清风公园等项目。强力推进“森林商水”建设，建成高速公路、铁路、国省县干道绿色廊道和沙颍河、汾泉河等生态廊道。全面推进生活垃圾分类，逐步建立分类投放、分类收集、分类运输、分类无害化资源化处理的生活垃圾处理系统。完善生活垃圾运收运体系，加快建设生活垃圾焚烧终端处理设施，逐步减少原生垃圾直接填埋。建立餐厨垃圾和建筑垃圾等回收及再利用体系。加快建设医疗废物集中处理设施，完善医疗废物收转运设施和危险废物处理设施。加快建设污泥无害化资源化处理设施，减少污泥进入垃圾填埋场填埋量。</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物流服务提质增效工程。建设统一分拨中转的公共配送中心，发展共同配送等新模式，满足小微企业和群众日常物流分拨配送需要。在城区周边建设4--6个冷库，配建理货和分拣等冷链配送设施，保障农副产品全程冷鲜冷冻保存和运输。建设面向城市消费的生鲜食品低温加工处理中心，推广“生鲜电商+冷链宅配”、“中央厨房+食材冷链配送”等新模式，引导社会力量在大中型商场、超市建设冷链物流前置仓，解决冷链物流“最后一公里”问题。</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老旧小区改造工程。加快建成王化宇、王道平、远通寺惠庄、城隍庙文昌等棚户区改造项目，改善小区居住条件，完善小区水电气路信等配套基础设施和养老、托育、停车、便民市场等公共服务设施。加强对小区及周边闲置土地、房屋、地下室等存量资源的统筹利用，探索以社区乃至街区为单元进行统一改造的商业模式，吸引社会资本参与有一定盈利的改造项目。</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智慧城市建设加速工程。一是夯实新型基础设施支撑，加快交通、水电气热等市政领域数字终端和系统改造建设，推进车站、社区、商场等重点区域5G基站和配套网络建设，推动家庭宽带千兆接入普及。二是结合场景需求，建设综合性、一体化大数据应用平台，推动应急、市政、交通、卫健、社区等公共领域部门间数据整合共享和公共领域智慧化应用，搭建城市信息模型（CIM）基础平台，部署智能交通、智能电网、智能水务等感知终端，推进市政公用设施智能化。整合市场监管、环境监管、应急管理、治安防控等事项，推行“云上政务”，推进社会治理精细化。整合教育、医疗、养老、就业、社保等信息数据系统，建设统一的基本公共服务平台，推进公共服务工具便捷化。</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7、承接周口中心城市功能疏解工程。谋划推进区域应急物资储备中心、天然气储备中心、粮食储备中心、LNG储备中心、危险废弃物和医疗废弃物无害化处理中心、城市“金矿”开发利用中心等工程。</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8、安全城市建设工程。实施防洪排涝设施更新加固、抗灾除险、人防工程、应急体系建设等工程。</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84" w:name="_Toc77152156"/>
      <w:bookmarkStart w:id="185" w:name="_Toc13095"/>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86" w:name="_Toc18733"/>
      <w:r>
        <w:rPr>
          <w:rFonts w:hint="eastAsia" w:ascii="黑体" w:hAnsi="黑体" w:eastAsia="黑体" w:cs="黑体"/>
          <w:sz w:val="32"/>
          <w:szCs w:val="32"/>
        </w:rPr>
        <w:t>第二十四章  加快周商一体化进程</w:t>
      </w:r>
      <w:bookmarkEnd w:id="184"/>
      <w:bookmarkEnd w:id="185"/>
      <w:bookmarkEnd w:id="18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启动商水撤县设区，加快推进“五个融接”，推动县城区与中心城区规划一张图、建设一盘棋、管理一张网。加快推进交通、电力、信息化基础设施、生态环保设施、物流仓储网络、公共服务体系与周口市区的全方位连接。抓紧建成武盛大道南延、西二环、周漯路（商水段）改造提升、沙颍河生态观光旅游经济带等重点工程，推动商水整体融入中心城区。以扩充产业集聚区片区、承接周口疏散功能片区、提升休闲服务后花园片区、构建港口经济片区为重点，拓展县城发展空间，充实周商一体化载体支撑。积极承接周口市区产业链配套项目和科技、信息、人才、教育培训、金融保险等先进要素辐射。主动谋划布局区域应急物资储备中心、天气储备中心、LNG储备中心、危险废弃物和医疗废弃物处置中心、精神健康医疗干预中心等周口市向外功能疏散的重大项目。加快发展城市近郊特色高效农业、观光农业和康养产业、休闲旅游业，打造优质农产品供应基地，建设冷链物流配送中心、快递物流分拨中心和高标准农产品批发市场。着力发展港区经济，推进要素集聚、功能集成，规划布局一批重点项目，打造临港物流贸易基地，形成以港口为中心，带动仓储、运输、物流、加工、贸易、金融、代理的产业协作体系，加快和以扩大城市发展区域。</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187" w:name="_Toc27520"/>
      <w:bookmarkStart w:id="188" w:name="_Toc77152157"/>
      <w:bookmarkStart w:id="189" w:name="_Toc15806"/>
      <w:r>
        <w:rPr>
          <w:rFonts w:hint="eastAsia" w:ascii="黑体" w:hAnsi="黑体" w:eastAsia="黑体" w:cs="黑体"/>
          <w:sz w:val="32"/>
          <w:szCs w:val="32"/>
        </w:rPr>
        <w:t>第二十五章  实施</w:t>
      </w:r>
      <w:bookmarkEnd w:id="187"/>
      <w:r>
        <w:rPr>
          <w:rFonts w:hint="eastAsia" w:ascii="黑体" w:hAnsi="黑体" w:eastAsia="黑体" w:cs="黑体"/>
          <w:sz w:val="32"/>
          <w:szCs w:val="32"/>
        </w:rPr>
        <w:t>城乡高质量发展空间格局</w:t>
      </w:r>
      <w:bookmarkEnd w:id="188"/>
      <w:bookmarkEnd w:id="18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县域治理“三起来”的重大要求和以城带乡、城乡融合、产城融合、产镇融合发展的思路，以推进城乡要素资源自由流动、均衡配置、平等交换为重点，坚持西扩东进、北融南控布局方略，加快推进城关乡“撤乡设办”，积极推进平店乡、汤庄乡“撤乡建镇设办”，扩展城乡高质量发展空间格局。</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90" w:name="_Toc77152158"/>
      <w:bookmarkStart w:id="191" w:name="_Toc15331"/>
      <w:r>
        <w:rPr>
          <w:rFonts w:hint="eastAsia" w:ascii="楷体_GB2312" w:hAnsi="楷体_GB2312" w:eastAsia="楷体_GB2312" w:cs="楷体_GB2312"/>
          <w:b/>
          <w:bCs/>
          <w:sz w:val="32"/>
          <w:szCs w:val="32"/>
        </w:rPr>
        <w:t>第一节  构建连城带乡的融合发展区</w:t>
      </w:r>
      <w:bookmarkEnd w:id="190"/>
      <w:bookmarkEnd w:id="19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筹城镇和乡村发展，推进城乡建设规划、产业布局、基础设施、公共服务、生态环保一体化。优化城乡融合发展空间布局，根据产业基础、交通区位条件、资源禀赋，将县域划分为三个发展区域。一是周口市区和县城近郊城乡融合发展先导区。这一区域重点依托中心城区，充分发挥产业集聚区、商务中心区的综合辐射带动作用，大力开发新产业新业态，挖掘农业农村新功能新价值，率先形成城乡融合发展核心区。二是县域西北部城乡产业融合发展示范区。这一区域要以高水平建设国家粮食核心示范区为重点，加快推进农业科技示范园、生态农业示范园和田园综合体三大样板平台建设，促进农产品产加销、农工商文旅产业深度融合，推进产业链、供应链、价值链“三链”同构，打造国家级农村产业融合发展示范区。三是县域南部城乡融合发展辐射带动区。这一区域要充分利用汾河生态廊道资源，大力培育新型农业经营主体，做优做精智慧农业、绿色农业、品牌农业、特色高效农业和农业产业化集群，提升产业扶贫能效，打造现代农业创新发展示范区。</w:t>
      </w:r>
      <w:bookmarkStart w:id="192" w:name="_Toc33630646"/>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93" w:name="_Toc77152159"/>
      <w:bookmarkStart w:id="194" w:name="_Toc2290"/>
      <w:bookmarkStart w:id="195" w:name="_Toc4250"/>
      <w:r>
        <w:rPr>
          <w:rFonts w:hint="eastAsia" w:ascii="楷体_GB2312" w:hAnsi="楷体_GB2312" w:eastAsia="楷体_GB2312" w:cs="楷体_GB2312"/>
          <w:b/>
          <w:bCs/>
          <w:sz w:val="32"/>
          <w:szCs w:val="32"/>
        </w:rPr>
        <w:t>第二节  大力发展重点镇特色镇</w:t>
      </w:r>
      <w:bookmarkEnd w:id="193"/>
      <w:bookmarkEnd w:id="194"/>
      <w:bookmarkEnd w:id="19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邓城历史文化名镇提升工程，依托商水港区和沙颍河水上旅游精品线路，加快叶氏庄园名人故居、名胜古迹、特色名吃、古航运码头等优势旅游资源综合开发，打造旅游全要素产业链，提升价值链，擦亮国家级特色文旅小镇品牌</w:t>
      </w:r>
      <w:r>
        <w:rPr>
          <w:rFonts w:hint="eastAsia" w:ascii="仿宋_GB2312" w:hAnsi="仿宋_GB2312" w:eastAsia="仿宋_GB2312" w:cs="仿宋_GB2312"/>
          <w:sz w:val="32"/>
          <w:szCs w:val="32"/>
          <w:lang w:eastAsia="zh-CN"/>
        </w:rPr>
        <w:t>。积极</w:t>
      </w:r>
      <w:r>
        <w:rPr>
          <w:rFonts w:hint="eastAsia" w:ascii="仿宋_GB2312" w:hAnsi="仿宋_GB2312" w:eastAsia="仿宋_GB2312" w:cs="仿宋_GB2312"/>
          <w:sz w:val="32"/>
          <w:szCs w:val="32"/>
        </w:rPr>
        <w:t>发展快递物流、智能仓储、第三方服务外包等临港产业，构建形成农副产品食品加工、临港物流仓储产业片区。支持张庄建设国家高标准农田示范区、农村产业融合田园综合体，打造现代农业示范样板</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构建建筑材料、林木家具加工、临港物流仓储和休闲产业片区。支持汤庄构建大宗商品专业物流、粮食应急储备物流、冷链物流、快递物流等临港物流仓储枢纽。大力推进练集渔网加工产业系列化、规模化、品牌化发展，搭建工业互联网平台，引领渔网加工产业全链条整合提升，打造享誉全国的渔网小镇。积极推进胡吉文印产业园建设，打造文印、箱包、物流、标牌产业集群，建成融文印产业园区、创意展示园区、仓储物流园区为一体，在全国有较大影响力的文印特色小镇。支持黄寨、谭庄等重点镇发展生物质能源、有机肥料和农副产品初加工产业。规划建设各类要素集成增效的现代农业产业园或田园综合体，鼓励城关花卉、平店玫瑰等特色产业发展，打造产镇融合、充满活力的“板材小镇”、“巧媳妇小镇”、“港口小镇”、“文旅小镇”等各具特色的小城镇。</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tbl>
      <w:tblPr>
        <w:tblStyle w:val="26"/>
        <w:tblW w:w="8580" w:type="dxa"/>
        <w:jc w:val="center"/>
        <w:tblLayout w:type="fixed"/>
        <w:tblCellMar>
          <w:top w:w="0" w:type="dxa"/>
          <w:left w:w="108" w:type="dxa"/>
          <w:bottom w:w="0" w:type="dxa"/>
          <w:right w:w="108" w:type="dxa"/>
        </w:tblCellMar>
      </w:tblPr>
      <w:tblGrid>
        <w:gridCol w:w="1066"/>
        <w:gridCol w:w="1064"/>
        <w:gridCol w:w="1066"/>
        <w:gridCol w:w="3175"/>
        <w:gridCol w:w="2209"/>
      </w:tblGrid>
      <w:tr>
        <w:tblPrEx>
          <w:tblCellMar>
            <w:top w:w="0" w:type="dxa"/>
            <w:left w:w="108" w:type="dxa"/>
            <w:bottom w:w="0" w:type="dxa"/>
            <w:right w:w="108" w:type="dxa"/>
          </w:tblCellMar>
        </w:tblPrEx>
        <w:trPr>
          <w:trHeight w:val="177" w:hRule="atLeast"/>
          <w:tblHeader/>
          <w:jc w:val="center"/>
        </w:trPr>
        <w:tc>
          <w:tcPr>
            <w:tcW w:w="858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专栏8   城乡融合发展区域建设指引</w:t>
            </w:r>
          </w:p>
        </w:tc>
      </w:tr>
      <w:tr>
        <w:tblPrEx>
          <w:tblCellMar>
            <w:top w:w="0" w:type="dxa"/>
            <w:left w:w="108" w:type="dxa"/>
            <w:bottom w:w="0" w:type="dxa"/>
            <w:right w:w="108" w:type="dxa"/>
          </w:tblCellMar>
        </w:tblPrEx>
        <w:trPr>
          <w:trHeight w:val="349" w:hRule="atLeast"/>
          <w:tblHeader/>
          <w:jc w:val="center"/>
        </w:trPr>
        <w:tc>
          <w:tcPr>
            <w:tcW w:w="106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区域</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类别</w:t>
            </w:r>
          </w:p>
        </w:tc>
        <w:tc>
          <w:tcPr>
            <w:tcW w:w="1064"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乡镇</w:t>
            </w:r>
          </w:p>
        </w:tc>
        <w:tc>
          <w:tcPr>
            <w:tcW w:w="1066"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职能</w:t>
            </w:r>
          </w:p>
        </w:tc>
        <w:tc>
          <w:tcPr>
            <w:tcW w:w="3175"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发展重点</w:t>
            </w:r>
          </w:p>
        </w:tc>
        <w:tc>
          <w:tcPr>
            <w:tcW w:w="2209" w:type="dxa"/>
            <w:tcBorders>
              <w:top w:val="single" w:color="auto" w:sz="4" w:space="0"/>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平台载体建设</w:t>
            </w:r>
          </w:p>
        </w:tc>
      </w:tr>
      <w:tr>
        <w:tblPrEx>
          <w:tblCellMar>
            <w:top w:w="0" w:type="dxa"/>
            <w:left w:w="108" w:type="dxa"/>
            <w:bottom w:w="0" w:type="dxa"/>
            <w:right w:w="108" w:type="dxa"/>
          </w:tblCellMar>
        </w:tblPrEx>
        <w:trPr>
          <w:trHeight w:val="349" w:hRule="atLeast"/>
          <w:jc w:val="center"/>
        </w:trPr>
        <w:tc>
          <w:tcPr>
            <w:tcW w:w="106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城乡融合发展先导区</w:t>
            </w: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练集镇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工贸旅游型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都市休闲观光农业、仓储物流、渔网加工产业集群</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渔网小镇、现代农业产业园</w:t>
            </w:r>
          </w:p>
        </w:tc>
      </w:tr>
      <w:tr>
        <w:tblPrEx>
          <w:tblCellMar>
            <w:top w:w="0" w:type="dxa"/>
            <w:left w:w="108" w:type="dxa"/>
            <w:bottom w:w="0" w:type="dxa"/>
            <w:right w:w="108" w:type="dxa"/>
          </w:tblCellMar>
        </w:tblPrEx>
        <w:trPr>
          <w:trHeight w:val="520"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姚集镇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农贸旅游型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近郊设施农业、规模养殖、板材加工</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休闲农业特色小镇、现代农业产业园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化河乡</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工贸旅游型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生态旅游、高效特色农业、养殖、再生棉产业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高老再生棉加工园区</w:t>
            </w:r>
          </w:p>
        </w:tc>
      </w:tr>
      <w:tr>
        <w:tblPrEx>
          <w:tblCellMar>
            <w:top w:w="0" w:type="dxa"/>
            <w:left w:w="108" w:type="dxa"/>
            <w:bottom w:w="0" w:type="dxa"/>
            <w:right w:w="108" w:type="dxa"/>
          </w:tblCellMar>
        </w:tblPrEx>
        <w:trPr>
          <w:trHeight w:val="520"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汤庄乡</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临港经济型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临港产业、现代物流、都市休闲观光农业、生态旅游、健康养老</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临港产业园、现代物流园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平店镇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工农融合型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粮食加工、板材加工、特色高效农业、养殖、花卉</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都市生态农业产业园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城关乡</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综合型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特色高效农业、都市休闲农业、健康养老</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田园综合体</w:t>
            </w:r>
          </w:p>
        </w:tc>
      </w:tr>
      <w:tr>
        <w:tblPrEx>
          <w:tblCellMar>
            <w:top w:w="0" w:type="dxa"/>
            <w:left w:w="108" w:type="dxa"/>
            <w:bottom w:w="0" w:type="dxa"/>
            <w:right w:w="108" w:type="dxa"/>
          </w:tblCellMar>
        </w:tblPrEx>
        <w:trPr>
          <w:trHeight w:val="520" w:hRule="atLeast"/>
          <w:jc w:val="center"/>
        </w:trPr>
        <w:tc>
          <w:tcPr>
            <w:tcW w:w="106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城乡产业融合发展示范区</w:t>
            </w: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谭庄镇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重点发展农产品加工业，积极打造以特色农产品为基础的产业集群</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“双创”产业园、产业融合示范园</w:t>
            </w:r>
          </w:p>
        </w:tc>
      </w:tr>
      <w:tr>
        <w:tblPrEx>
          <w:tblCellMar>
            <w:top w:w="0" w:type="dxa"/>
            <w:left w:w="108" w:type="dxa"/>
            <w:bottom w:w="0" w:type="dxa"/>
            <w:right w:w="108" w:type="dxa"/>
          </w:tblCellMar>
        </w:tblPrEx>
        <w:trPr>
          <w:trHeight w:val="692"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白寺镇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大力发展特色农业、板材深加工，延长产业链，提升板材产品结构，打造板材加工业产业集群。</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现代农业产业园</w:t>
            </w:r>
          </w:p>
        </w:tc>
      </w:tr>
      <w:tr>
        <w:tblPrEx>
          <w:tblCellMar>
            <w:top w:w="0" w:type="dxa"/>
            <w:left w:w="108" w:type="dxa"/>
            <w:bottom w:w="0" w:type="dxa"/>
            <w:right w:w="108" w:type="dxa"/>
          </w:tblCellMar>
        </w:tblPrEx>
        <w:trPr>
          <w:trHeight w:val="520"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郝岗镇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农贸旅游型重点镇</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循环农业、文化旅游、特色农业、现代物流、康养</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文化旅游特色小镇、田园综合体</w:t>
            </w:r>
          </w:p>
        </w:tc>
      </w:tr>
      <w:tr>
        <w:tblPrEx>
          <w:tblCellMar>
            <w:top w:w="0" w:type="dxa"/>
            <w:left w:w="108" w:type="dxa"/>
            <w:bottom w:w="0" w:type="dxa"/>
            <w:right w:w="108" w:type="dxa"/>
          </w:tblCellMar>
        </w:tblPrEx>
        <w:trPr>
          <w:trHeight w:val="520"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张庄镇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优质粮食、优质果蔬、水产养殖、生态农业、临港产业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国家粮食生产核心区、农村产业融合田园综合体</w:t>
            </w:r>
          </w:p>
        </w:tc>
      </w:tr>
      <w:tr>
        <w:tblPrEx>
          <w:tblCellMar>
            <w:top w:w="0" w:type="dxa"/>
            <w:left w:w="108" w:type="dxa"/>
            <w:bottom w:w="0" w:type="dxa"/>
            <w:right w:w="108" w:type="dxa"/>
          </w:tblCellMar>
        </w:tblPrEx>
        <w:trPr>
          <w:trHeight w:val="863"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邓城镇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商贸旅游型国家历史文化名镇</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文化旅游、临港产业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临港产业园、农村产业融合示范园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张明镇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集贸旅游型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特色农业、乡村旅游</w:t>
            </w:r>
            <w:r>
              <w:rPr>
                <w:rFonts w:hint="eastAsia" w:ascii="仿宋_GB2312" w:hAnsi="仿宋_GB2312" w:eastAsia="仿宋_GB2312" w:cs="仿宋_GB2312"/>
                <w:sz w:val="24"/>
                <w:szCs w:val="24"/>
              </w:rPr>
              <w:t>　</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巴村镇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光伏农业、生态文化旅游、特色农业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农业科技示范园、田园综合体</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大武镇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集贸型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优质蔬菜、特色农业、红色旅游  </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舒庄镇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集贸旅游型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特色农业、文化旅游</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tc>
      </w:tr>
      <w:tr>
        <w:tblPrEx>
          <w:tblCellMar>
            <w:top w:w="0" w:type="dxa"/>
            <w:left w:w="108" w:type="dxa"/>
            <w:bottom w:w="0" w:type="dxa"/>
            <w:right w:w="108" w:type="dxa"/>
          </w:tblCellMar>
        </w:tblPrEx>
        <w:trPr>
          <w:trHeight w:val="349" w:hRule="atLeast"/>
          <w:jc w:val="center"/>
        </w:trPr>
        <w:tc>
          <w:tcPr>
            <w:tcW w:w="1066" w:type="dxa"/>
            <w:vMerge w:val="restart"/>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城乡融合发展辐射带动区</w:t>
            </w: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固墙镇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积极打造以畜产品生产加工业为重点的产业集群</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农产品批发市场</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胡吉镇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文印特色产业集群、高效农业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文印特色小镇</w:t>
            </w:r>
          </w:p>
        </w:tc>
      </w:tr>
      <w:tr>
        <w:tblPrEx>
          <w:tblCellMar>
            <w:top w:w="0" w:type="dxa"/>
            <w:left w:w="108" w:type="dxa"/>
            <w:bottom w:w="0" w:type="dxa"/>
            <w:right w:w="108" w:type="dxa"/>
          </w:tblCellMar>
        </w:tblPrEx>
        <w:trPr>
          <w:trHeight w:val="520"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魏集镇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以双孢菇、蔬菜等主要原材料为基础，大力发展蔬菜产品加工业，形成特色蔬菜产业集群。</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现代农业产业园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袁老镇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现代农业型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高效农业、光伏农业、养殖、农产品加工、文化旅游 </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农业科技示范园</w:t>
            </w:r>
          </w:p>
        </w:tc>
      </w:tr>
      <w:tr>
        <w:tblPrEx>
          <w:tblCellMar>
            <w:top w:w="0" w:type="dxa"/>
            <w:left w:w="108" w:type="dxa"/>
            <w:bottom w:w="0" w:type="dxa"/>
            <w:right w:w="108" w:type="dxa"/>
          </w:tblCellMar>
        </w:tblPrEx>
        <w:trPr>
          <w:trHeight w:val="349"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黄寨镇</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工贸型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新能源、循环农业</w:t>
            </w:r>
            <w:r>
              <w:rPr>
                <w:rFonts w:hint="eastAsia" w:ascii="仿宋_GB2312" w:hAnsi="仿宋_GB2312" w:eastAsia="仿宋_GB2312" w:cs="仿宋_GB2312"/>
                <w:sz w:val="24"/>
                <w:szCs w:val="24"/>
                <w:lang w:eastAsia="zh-CN"/>
              </w:rPr>
              <w:t>、特色农业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w:t>
            </w:r>
          </w:p>
        </w:tc>
      </w:tr>
      <w:tr>
        <w:tblPrEx>
          <w:tblCellMar>
            <w:top w:w="0" w:type="dxa"/>
            <w:left w:w="108" w:type="dxa"/>
            <w:bottom w:w="0" w:type="dxa"/>
            <w:right w:w="108" w:type="dxa"/>
          </w:tblCellMar>
        </w:tblPrEx>
        <w:trPr>
          <w:trHeight w:val="183" w:hRule="atLeast"/>
          <w:jc w:val="center"/>
        </w:trPr>
        <w:tc>
          <w:tcPr>
            <w:tcW w:w="1066" w:type="dxa"/>
            <w:vMerge w:val="continue"/>
            <w:tcBorders>
              <w:top w:val="nil"/>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p>
        </w:tc>
        <w:tc>
          <w:tcPr>
            <w:tcW w:w="1064"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农场</w:t>
            </w:r>
          </w:p>
        </w:tc>
        <w:tc>
          <w:tcPr>
            <w:tcW w:w="1066"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农业型</w:t>
            </w:r>
          </w:p>
        </w:tc>
        <w:tc>
          <w:tcPr>
            <w:tcW w:w="3175"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现代种业</w:t>
            </w:r>
          </w:p>
        </w:tc>
        <w:tc>
          <w:tcPr>
            <w:tcW w:w="2209"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农业科技示范园</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96" w:name="_Toc77152160"/>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197" w:name="_Toc15605"/>
      <w:r>
        <w:rPr>
          <w:rFonts w:hint="eastAsia" w:ascii="楷体_GB2312" w:hAnsi="楷体_GB2312" w:eastAsia="楷体_GB2312" w:cs="楷体_GB2312"/>
          <w:b/>
          <w:bCs/>
          <w:sz w:val="32"/>
          <w:szCs w:val="32"/>
        </w:rPr>
        <w:t>第三节 优化国土空间开发保护格局</w:t>
      </w:r>
      <w:bookmarkEnd w:id="196"/>
      <w:bookmarkEnd w:id="19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国家和省区域发展战略、主体功能区域战略，建立健全县国土空间规划体系，统筹布局生态、农业、城镇等功能空间，科学划定并落实生态保护红线、永久基本农田、城镇开发边界，守住自然生态安全边界。强化国土空间规划和用途管控，分区分类实施国土空间用途管制，对不同功能区的项目实行不同的土地占用环境准入和生态保护等约束性标准。健全市场主体行为符合各区域主导功能定位的利益导向机制，引导土地、人口与主体功能相适应，加强空间发展统筹协调，保障重大战略、重大项目落地实施。建立国土空间规划战略留白机制，预留未来发展空间。建立符合推进分区管理要求的绩效评价体系，制定保护监管、责任追究和表彰奖励等相关政策制度。</w:t>
      </w:r>
    </w:p>
    <w:p>
      <w:pPr>
        <w:pStyle w:val="2"/>
        <w:rPr>
          <w:rFonts w:hint="eastAsia"/>
        </w:rPr>
      </w:pPr>
    </w:p>
    <w:bookmarkEnd w:id="192"/>
    <w:tbl>
      <w:tblPr>
        <w:tblStyle w:val="27"/>
        <w:tblW w:w="90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003"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专栏9  新型城镇体系空间布局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3"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1、</w:t>
            </w:r>
            <w:r>
              <w:rPr>
                <w:rFonts w:hint="eastAsia" w:ascii="仿宋_GB2312" w:hAnsi="仿宋_GB2312" w:eastAsia="仿宋_GB2312" w:cs="仿宋_GB2312"/>
                <w:sz w:val="24"/>
                <w:szCs w:val="24"/>
              </w:rPr>
              <w:t>全域城镇体系空间布局为“一心、六点、两带”</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一心”：即中心城区，位于复合通道节点位置，是各种“流”的汇聚地，基础设施完善，具有较好的经济社会发展基础。生产要素向中心城区集聚，促进城市框架不断拉大，实现周商一体化，进一步增强中心城区的核心作用。“六点”：包括谭庄镇、邓城镇、固墙镇、白寺镇、袁老</w:t>
            </w:r>
            <w:r>
              <w:rPr>
                <w:rFonts w:hint="eastAsia" w:ascii="仿宋_GB2312" w:hAnsi="仿宋_GB2312" w:eastAsia="仿宋_GB2312" w:cs="仿宋_GB2312"/>
                <w:sz w:val="24"/>
                <w:szCs w:val="24"/>
                <w:lang w:eastAsia="zh-CN"/>
              </w:rPr>
              <w:t>乡</w:t>
            </w:r>
            <w:r>
              <w:rPr>
                <w:rFonts w:hint="eastAsia" w:ascii="仿宋_GB2312" w:hAnsi="仿宋_GB2312" w:eastAsia="仿宋_GB2312" w:cs="仿宋_GB2312"/>
                <w:sz w:val="24"/>
                <w:szCs w:val="24"/>
              </w:rPr>
              <w:t>等五个县域中心</w:t>
            </w:r>
            <w:r>
              <w:rPr>
                <w:rFonts w:hint="eastAsia" w:ascii="仿宋_GB2312" w:hAnsi="仿宋_GB2312" w:eastAsia="仿宋_GB2312" w:cs="仿宋_GB2312"/>
                <w:sz w:val="24"/>
                <w:szCs w:val="24"/>
                <w:lang w:eastAsia="zh-CN"/>
              </w:rPr>
              <w:t>乡</w:t>
            </w:r>
            <w:r>
              <w:rPr>
                <w:rFonts w:hint="eastAsia" w:ascii="仿宋_GB2312" w:hAnsi="仿宋_GB2312" w:eastAsia="仿宋_GB2312" w:cs="仿宋_GB2312"/>
                <w:sz w:val="24"/>
                <w:szCs w:val="24"/>
              </w:rPr>
              <w:t>镇经济增长点。“两带”：一是连接谭庄、张庄、中心城区、练集和黄寨的S238—X017—X021—X020与漯阜铁路、南洛高速构成的复合轴线，是商水县域城镇空间布局的主轴带；二是连接郝岗、张明、谭庄、巴村、舒庄、白寺、姚集、固墙、胡吉、魏集的S219—谭庄至白寺县道—S206—县道026发展轴线，是商水县域城镇空间布局的次轴带。</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2、中心城区的空间布局结构为“两心、四轴、三区”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两心：老城商业中心、新区综合服务中心。疏解老城区功能，将其行政功能逐渐外迁，原行政办公用地进行土地置换，发展商业商贸，在行政路两侧（老城路——周商大道之间）形成老城商业中心；新区综合服务中心包括行政服务中心和新区商业</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中心。四轴：分别指沿周商大道、行政路、纬一路和新区行政商业文化中心轴四条发展轴线。三区：生产物流片区、老城片区、新城片区。</w:t>
            </w:r>
          </w:p>
        </w:tc>
      </w:tr>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198" w:name="_Toc6631"/>
      <w:bookmarkStart w:id="199" w:name="_Toc12435"/>
      <w:bookmarkStart w:id="200" w:name="_Toc77152161"/>
      <w:r>
        <w:rPr>
          <w:rFonts w:hint="eastAsia" w:ascii="黑体" w:hAnsi="黑体" w:eastAsia="黑体" w:cs="黑体"/>
          <w:sz w:val="32"/>
          <w:szCs w:val="32"/>
        </w:rPr>
        <w:t xml:space="preserve">第七篇 </w:t>
      </w:r>
      <w:bookmarkEnd w:id="198"/>
      <w:r>
        <w:rPr>
          <w:rFonts w:hint="eastAsia" w:ascii="黑体" w:hAnsi="黑体" w:eastAsia="黑体" w:cs="黑体"/>
          <w:sz w:val="32"/>
          <w:szCs w:val="32"/>
        </w:rPr>
        <w:t xml:space="preserve"> 谱写乡村振兴壮美篇章</w:t>
      </w:r>
      <w:bookmarkEnd w:id="199"/>
      <w:bookmarkEnd w:id="20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产业兴旺、生态宜居、乡风文明、治理有效、生活富裕的总要求，构建现代农业生产体系、产业体系、经营体系、创新体系、服务体系，全面推进乡村产业、人才、文化、生态、组织振兴，加快农业农村现代化步伐，实现农业高质高效、农村宜居宜业、农民富裕富足。</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01" w:name="_Toc77152162"/>
      <w:bookmarkStart w:id="202" w:name="_Toc17178"/>
      <w:r>
        <w:rPr>
          <w:rFonts w:hint="eastAsia" w:ascii="黑体" w:hAnsi="黑体" w:eastAsia="黑体" w:cs="黑体"/>
          <w:sz w:val="32"/>
          <w:szCs w:val="32"/>
        </w:rPr>
        <w:t>第二十六章  夯实粮食稳产高产基础</w:t>
      </w:r>
      <w:bookmarkEnd w:id="201"/>
      <w:bookmarkEnd w:id="20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把稳定重要农产品特别是粮食供给作为乡村振兴的首要任务，牢牢抓住粮食这个核心竞争力，落实新时期粮食核心区规划建设任务，建设优质农产品生产加工基地，打造河南优质粮仓。</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03" w:name="_Toc77152163"/>
      <w:bookmarkStart w:id="204" w:name="_Toc32015"/>
      <w:r>
        <w:rPr>
          <w:rFonts w:hint="eastAsia" w:ascii="楷体_GB2312" w:hAnsi="楷体_GB2312" w:eastAsia="楷体_GB2312" w:cs="楷体_GB2312"/>
          <w:b/>
          <w:bCs/>
          <w:sz w:val="32"/>
          <w:szCs w:val="32"/>
        </w:rPr>
        <w:t>第一节  强化耕地保护</w:t>
      </w:r>
      <w:bookmarkEnd w:id="203"/>
      <w:bookmarkEnd w:id="20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守耕地保护红线，落实最严格的耕地保护制度，落实最严格的耕地保护制度和节约用地制度，强化政府主体责任，推进耕地数量、质量、生态“三位一体”保护，严厉打击滥征、乱占耕地等行为，严禁耕地非农化，防止耕地非粮化。开展国土综合整治行动，依法加强耕地占补平衡规范管理，有效提高农村耕地集中连片程度。推广秸秆覆盖还田等保护性耕作技术。建立健全耕地质量和产能监测评价制度，完善耕地质量监测网络，开展退化耕地综合治理和污染耕地阻控修复。</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05" w:name="_Toc3464"/>
      <w:bookmarkStart w:id="206" w:name="_Toc77152164"/>
      <w:r>
        <w:rPr>
          <w:rFonts w:hint="eastAsia" w:ascii="楷体_GB2312" w:hAnsi="楷体_GB2312" w:eastAsia="楷体_GB2312" w:cs="楷体_GB2312"/>
          <w:b/>
          <w:bCs/>
          <w:sz w:val="32"/>
          <w:szCs w:val="32"/>
        </w:rPr>
        <w:t>第二节  大力推进高标准农田建设</w:t>
      </w:r>
      <w:bookmarkEnd w:id="205"/>
      <w:bookmarkEnd w:id="20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藏粮于地、藏粮于技战略，落实河南省新一轮高标准农田建设规划，完善高标准农田建设内容和标准，持续改善农田基础设施薄弱环节，推进中低产田改造，建成集中连片、旱涝保收、稳产高产、生态友好的100万亩高标准农田，集中力量推进10万亩国家粮食核心示范区建设，确保粮食作物种植面积稳定在240万亩以上，粮食产量稳定在22亿斤以上，扛稳粮食安全重任。优化农业生产结构，提升粮食生产功能区、重要农产品生产保护区建设水平，积极打造特色农产品优势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拓宽高标准农田资金投入渠道，加强新增耕地指标跨区域调剂统筹和收益调节分配，构建建管并重长效机制</w:t>
      </w:r>
      <w:r>
        <w:rPr>
          <w:rFonts w:hint="eastAsia" w:ascii="仿宋_GB2312" w:hAnsi="仿宋_GB2312" w:eastAsia="仿宋_GB2312" w:cs="仿宋_GB2312"/>
          <w:sz w:val="32"/>
          <w:szCs w:val="32"/>
          <w:lang w:eastAsia="zh-CN"/>
        </w:rPr>
        <w:t>。增强粮食核心区气象保障能力，建设粮食生产核心区气象服务中心，优质专用小麦气象服务区域分中心，提高粮食全产业链气象保障水平。</w:t>
      </w:r>
      <w:r>
        <w:rPr>
          <w:rFonts w:hint="eastAsia" w:ascii="仿宋_GB2312" w:hAnsi="仿宋_GB2312" w:eastAsia="仿宋_GB2312" w:cs="仿宋_GB2312"/>
          <w:sz w:val="32"/>
          <w:szCs w:val="32"/>
        </w:rPr>
        <w:t>深化农业水价综合改革，强化落实管护责任，保障农田工程设施长效运行。</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07" w:name="_Toc10307"/>
      <w:bookmarkStart w:id="208" w:name="_Toc77152165"/>
      <w:r>
        <w:rPr>
          <w:rFonts w:hint="eastAsia" w:ascii="楷体_GB2312" w:hAnsi="楷体_GB2312" w:eastAsia="楷体_GB2312" w:cs="楷体_GB2312"/>
          <w:b/>
          <w:bCs/>
          <w:sz w:val="32"/>
          <w:szCs w:val="32"/>
        </w:rPr>
        <w:t>第三节  推进粮食产业三链同构</w:t>
      </w:r>
      <w:bookmarkEnd w:id="207"/>
      <w:bookmarkEnd w:id="20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粮头食尾”“农头工尾”，促进生产加工、物流、研发、服务、销售各环节一体化发展，延伸粮食产业链、提升价值链、打造供应链，培育粮食加工龙头企业，打造结构合理、链条完整的优势特色产业集群。实施优质粮食工程，推行基地化布局，强化技术装备支撑，着力发展中医药防治、炭基肥利用等有机种植，扩大优质麦、专用麦等标准化种植。推广绿色种植和收储新技术，完善粮油品种研发推广，加快发展粮超、粮批、粮校对接等直采直供模式，提升收集调控能力。在张庄乡、舒庄乡、白寺镇、汤庄乡、巴村镇等乡镇境内建设30万亩优质小麦现代农业产业园。高标准建设“守望麦田、金色家园”农业现代化示范工程和国家级农村产业融合田园综合体，倾力打造“商水优质小麦”、“商水优质花生”“、黑小麦”、“黑花生”、“黑芝麻”等标志产品，争创优质粮源基地示范县。加快姚集乡日光温室和食用菌、城关乡花卉、黄寨镇中药材、平店乡露地菜、玫瑰、大武乡供港蔬菜和设施农业、张明乡花生、郝岗乡烟叶生产等一大批经济效益好、辐射带动能力强的地方特色产业。到2025年，农业特色产业集群产值达到50亿元以上。</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09" w:name="_Toc7692"/>
      <w:bookmarkStart w:id="210" w:name="_Toc77152166"/>
      <w:r>
        <w:rPr>
          <w:rFonts w:hint="eastAsia" w:ascii="黑体" w:hAnsi="黑体" w:eastAsia="黑体" w:cs="黑体"/>
          <w:sz w:val="32"/>
          <w:szCs w:val="32"/>
        </w:rPr>
        <w:t>第二十七章  加快建设现代农业</w:t>
      </w:r>
      <w:bookmarkEnd w:id="209"/>
      <w:bookmarkEnd w:id="21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坚持质量兴农、绿色兴农、科技兴农、品牌强农，加快构建现代农业产业体系、生产体系、经营体系，推动实现“六高六化”，全面提升农业发展质量效益。</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11" w:name="_Toc11127"/>
      <w:bookmarkStart w:id="212" w:name="_Toc77152167"/>
      <w:r>
        <w:rPr>
          <w:rFonts w:hint="eastAsia" w:ascii="楷体_GB2312" w:hAnsi="楷体_GB2312" w:eastAsia="楷体_GB2312" w:cs="楷体_GB2312"/>
          <w:b/>
          <w:bCs/>
          <w:sz w:val="32"/>
          <w:szCs w:val="32"/>
        </w:rPr>
        <w:t>第一节  优化种养业结构</w:t>
      </w:r>
      <w:bookmarkEnd w:id="211"/>
      <w:bookmarkEnd w:id="21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一乡一品”，加快调整种养业结构，推动种养业向标准化、规模化、产业化、绿色化和品牌化方向发展。创建农业供给侧结构性改革示范区和农业绿色发展示范区，推进规模种植全程标准化、机械化。加快优质强筋小麦、优质玉米、优质花生、优质芝麻、优质果蔬生产基地建设，强化农业科技和装备支撑，提高农业良种化水平，健全动物防疫和农作物病虫害防治体系，提高绿色优质农产品供给能力，创建国家、省特色农产品优势区。大力发展现代畜牧业，做强生猪产业、做优家禽产业，加快建设生牧原现代化养殖基地，畜牧业产值占农业总产值比重达到30%以上。以农作物、经济作物、林果和主要畜禽为重点，开展种质资源创新、新品种培育。</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13" w:name="_Toc13521"/>
      <w:bookmarkStart w:id="214" w:name="_Toc77152168"/>
      <w:r>
        <w:rPr>
          <w:rFonts w:hint="eastAsia" w:ascii="楷体_GB2312" w:hAnsi="楷体_GB2312" w:eastAsia="楷体_GB2312" w:cs="楷体_GB2312"/>
          <w:b/>
          <w:bCs/>
          <w:sz w:val="32"/>
          <w:szCs w:val="32"/>
        </w:rPr>
        <w:t>第二节  促进农业绿色化品牌化发展</w:t>
      </w:r>
      <w:bookmarkEnd w:id="213"/>
      <w:bookmarkEnd w:id="21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农业资源保护高效利用，大力发展节水、节肥、节药、节地农业。积极发展生态循环农业，推进畜禽粪污、秸秆、农膜等资源化利用，打造农业绿色发展先行区。到2025年，畜禽粪污综合利用率达到80%以上，秸秆综合利用率达到90%以上。做优农产品质量品牌，扩大绿色、有机和地理标志农产品供给。完善农产品原产地可追溯制度和质量标识制度，培育20个省知名农产品农业品牌，50个“三品一标”农产品品牌。</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15" w:name="_Toc18976"/>
      <w:bookmarkStart w:id="216" w:name="_Toc77152169"/>
      <w:r>
        <w:rPr>
          <w:rFonts w:hint="eastAsia" w:ascii="楷体_GB2312" w:hAnsi="楷体_GB2312" w:eastAsia="楷体_GB2312" w:cs="楷体_GB2312"/>
          <w:b/>
          <w:bCs/>
          <w:sz w:val="32"/>
          <w:szCs w:val="32"/>
        </w:rPr>
        <w:t>第三节  强化农业科技支撑</w:t>
      </w:r>
      <w:bookmarkEnd w:id="215"/>
      <w:bookmarkEnd w:id="21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农业全产业链科技攻关和科技化改造，加强大中型智能化，复合型农业机械研发应用布局，建设一批农业领域创新平台，推进主要农作物生产全程机械化和农田一级化改造，健全县乡农技推广网络体系，建设全程机械化加综合农事服务中心。加强动物防疫和农作物病虫害防治，强化现代气象为农服务，健全农业气象灾害防治体系，建设气象突发事件预警中心，加快发展数字农业智慧农业高效设施农业，培育数字农业试点。</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17" w:name="_Toc77152170"/>
      <w:bookmarkStart w:id="218" w:name="_Toc25487"/>
      <w:r>
        <w:rPr>
          <w:rFonts w:hint="eastAsia" w:ascii="楷体_GB2312" w:hAnsi="楷体_GB2312" w:eastAsia="楷体_GB2312" w:cs="楷体_GB2312"/>
          <w:b/>
          <w:bCs/>
          <w:sz w:val="32"/>
          <w:szCs w:val="32"/>
        </w:rPr>
        <w:t>第四节  大力推动乡村产业融合发展</w:t>
      </w:r>
      <w:bookmarkEnd w:id="217"/>
      <w:bookmarkEnd w:id="21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培育壮大特色优势产业链集群。按照园区化布局、组织化经营、数字化赋能、融合化发展的思路，大力发展新型农业经营组织，依托农业产业化龙头企业和联合体，加快构建现代农业产业、经营、创新、服务体系，推动一二三产业融合发展，纵向拓展农业增值增效空间，横向拓展农业功能价值。以“粮头食尾”、“农头工尾”为主攻方向，壮大面粉食品加工、畜产品屠宰加工、饲料加工、植物油生产加工、果蔬制品、食用菌生产加工、花卉苗木、板材加工、生物育种等九大系列产业链集群。扶持农民合作社和家庭农场发展保鲜、储藏、分级、包装等延时类初加工，发展粮变粉、豆变芽、肉变肠、菜变肴、果变汁等食品类初加工，培育一批农业食品融合企业，实现循环增值、梯次增值、全链增值。</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进农业与服务业全面融合。以新型农业经营组织为依托，推动建设区域性农业全产业链综合服务中心，构建全程覆盖、区域集成、配套完善的农业社会化服务网络。实施数字乡村发展战略，大力推进农业全产业链数字化转型，推广应用互联网+、智慧农业、数字农业等信息技术，推动电子商务全域覆盖。加强农业与物流产业链接融合，构建“生产基地+批发市场+电子商务+物流配送”的农产品流通模式。“十四五”期间布局建设3—5个具有区域影响力的农产品物流加工配套中心和冷链物流中心，打造一批电商骨干企业。大力发展“订单”农业，积极推行“公司+基地+农户”、“公司+合作组织+基地+农户”等产业化经营模式，加强企业和农户联系，实现农户生产与市场需求的有效对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优化乡村产业新格局。依托乡村特色优势资源，拓展乡村特色产业，规划建设一批农村产业融合示范园等平台载体，建设富有特色、规模适中、辐射带动力强的乡村产业集聚区，培育一批“产品小而特、业态精而美、布局聚而合”的“一村一品”示范村镇，形成一村带数村、多村连成片的发展格局。支持练集渔网编织、胡吉文印、城关花卉、平店玫瑰、张庄苗圃等特色产业发展，努力形成“一乡一品牌”的发展格局。整合渔网编织优势资源，统一标准、提升质量、打造品牌。抓好“返乡经济”，建立健全返乡创业扶持政策，争创省级农民工返乡创业示范园区、示范项目。建设高水准的农业公园，发展守望麦田民宿区，培育创意农业、文旅农业、乡邻广场等农村经济新业态，打造集休闲农业、高效农业、观光农业、智慧农业于一体的农业综合体，带动乡村旅游业的发展。聚焦镇（乡）域1―2个主导产业，吸引资本聚镇、能人入镇、技术进镇，建设一批标准原料基地、集约加工转化、区域主导产业、紧密利益联结于一体的农业产业强镇，打造主业强、百业兴、宜居宜业的农民区域服务中心，实现农业大县到农业强县的转变，促进农民致富、乡村振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19" w:name="_Toc739"/>
      <w:bookmarkStart w:id="220" w:name="_Toc77152171"/>
      <w:r>
        <w:rPr>
          <w:rFonts w:hint="eastAsia" w:ascii="黑体" w:hAnsi="黑体" w:eastAsia="黑体" w:cs="黑体"/>
          <w:sz w:val="32"/>
          <w:szCs w:val="32"/>
        </w:rPr>
        <w:t>第二十八章  实施乡村建设行动</w:t>
      </w:r>
      <w:bookmarkEnd w:id="219"/>
      <w:bookmarkEnd w:id="22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坚持统筹规划、分类施策，一体推进乡村环境整治、设施改造、乡村塑造和治理创新，加快补齐农村发展短板，全面提升乡村生态宜居水平和社会文明程度，打造农民美好生活幸福家园。</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21" w:name="_Toc15090"/>
      <w:bookmarkStart w:id="222" w:name="_Toc77152172"/>
      <w:r>
        <w:rPr>
          <w:rFonts w:hint="eastAsia" w:ascii="楷体_GB2312" w:hAnsi="楷体_GB2312" w:eastAsia="楷体_GB2312" w:cs="楷体_GB2312"/>
          <w:b/>
          <w:bCs/>
          <w:sz w:val="32"/>
          <w:szCs w:val="32"/>
        </w:rPr>
        <w:t>第一节  深入推进农村人居环境整治</w:t>
      </w:r>
      <w:bookmarkEnd w:id="221"/>
      <w:bookmarkEnd w:id="22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开展“千村示范、万村整治”工程，全面改善村容村貌，推行农村生活垃圾就地分类和资源化利用，完善村分拣收集、乡镇回收清运、县统一处置、有机垃圾生态处理的分类收集处理体系。梯次推进农村生活污水处理，以城乡结合部、乡镇政府驻地和经济实力强的中心村为重点，加快建设污水集中处理设施或纳入城镇污水管网覆盖范围。因地制宜推进农村“厕所革命”，实施农村沟渠河塘综合整治和污水排放沟渠建设，加强雨污水管网和处理设施有机衔接。加强传统村落民居和历史文化名村名镇保护，弘扬传统农耕文化和优秀民间文化，提升田园风光品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23" w:name="_Toc1490"/>
      <w:bookmarkStart w:id="224" w:name="_Toc77152173"/>
      <w:r>
        <w:rPr>
          <w:rFonts w:hint="eastAsia" w:ascii="楷体_GB2312" w:hAnsi="楷体_GB2312" w:eastAsia="楷体_GB2312" w:cs="楷体_GB2312"/>
          <w:b/>
          <w:bCs/>
          <w:sz w:val="32"/>
          <w:szCs w:val="32"/>
        </w:rPr>
        <w:t>第二节  提升农村基础设施和公共服务设施水平</w:t>
      </w:r>
      <w:bookmarkEnd w:id="223"/>
      <w:bookmarkEnd w:id="22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坚持“多规合一”编制实用性村庄规划，优化村庄空间布局，实施村庄基础设施建设改善工程，巩固提升农村供水保障能力，提档升级乡村道路、电力、燃气、广播电视、物流等基础设施，健全运营管护长效机制。强化农村饮用水水源地保护和水质监测，做好农村饮水工程运行管理，巩固提升农村饮水安全保障水平。加快构建覆盖农村的高速光纤宽带网、5G网络，增强农村信息服务保障能力，开展数字乡村试点示范。推进县乡村公共服务一体化，加强乡村小规模学校和农村寄宿制学校建设，推动乡镇卫生院、社区卫生服务中心、村卫生室建设和服务能力全部达标，发展多种形式的乡镇养老服务机构。 </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25" w:name="_Toc27771"/>
      <w:bookmarkStart w:id="226" w:name="_Toc77152174"/>
      <w:r>
        <w:rPr>
          <w:rFonts w:hint="eastAsia" w:ascii="楷体_GB2312" w:hAnsi="楷体_GB2312" w:eastAsia="楷体_GB2312" w:cs="楷体_GB2312"/>
          <w:b/>
          <w:bCs/>
          <w:sz w:val="32"/>
          <w:szCs w:val="32"/>
        </w:rPr>
        <w:t>第三节  建设文明善治乡村</w:t>
      </w:r>
      <w:bookmarkEnd w:id="225"/>
      <w:bookmarkEnd w:id="22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乡镇工作“三结合”，加强农村基层党组织建设，选好配强农村党支部书记，健全选派第一书记长效机制，完善农村后备干部选拔和储备机制，确保优秀农村干部的可持续性，促进乡村组织振兴。加强新时代农村精神文明建设，弘扬和践行社会主义核心价值观，以农民群众喜闻乐见的方式，深入开展习近平新时代中国特色社会主义思想学习教育。拓展新时代文明实践中心建设，深化群众性精神文明创建活动，深入开展“听党话、感党恩、跟党走”宣讲活动。深化拓展“四议两公开”工作法，健全党组织领导下的村级议事协商制度，加强农村群众性自治组织建设，创新村民议事形式，完善议事决策主体和程序。提升乡村法治水平，加强乡村人民调解组织建设和健全农村公共法律服务体系，增强乡村法治服务能力，强化乡村德治作用，开展“农村道德模范”“最美邻里”“身边好人”选树活动，引导村民自我管理、自我提高。持续推进农村移风易俗，推广积分制、道德评议会、红白理事会等做法，加大高价彩礼、人情攀比、后葬薄养、铺张浪费、封建迷信等不良风气治理，培育社会好风尚。深入推进平安乡村建设，持续开展法治乡镇、民主法治村创建，依法管理农村宗教事务。</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27" w:name="_Toc16727"/>
      <w:bookmarkStart w:id="228" w:name="_Toc77152175"/>
      <w:r>
        <w:rPr>
          <w:rFonts w:hint="eastAsia" w:ascii="黑体" w:hAnsi="黑体" w:eastAsia="黑体" w:cs="黑体"/>
          <w:sz w:val="32"/>
          <w:szCs w:val="32"/>
        </w:rPr>
        <w:t>第二十九章  健全城乡融合发展体制机制</w:t>
      </w:r>
      <w:bookmarkEnd w:id="227"/>
      <w:bookmarkEnd w:id="22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走城乡融合发展的乡村振兴之路，突出以工促农、以城带乡，促进城乡要素自由流动、平等交换和公共资源合理配置，促进资源共享、链条共建、品牌共创，形成企业主体、农民参与、科研助力、金融支撑的产业生态，增强农业农村发展活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29" w:name="_Toc19499"/>
      <w:bookmarkStart w:id="230" w:name="_Toc77152176"/>
      <w:r>
        <w:rPr>
          <w:rFonts w:hint="eastAsia" w:ascii="楷体_GB2312" w:hAnsi="楷体_GB2312" w:eastAsia="楷体_GB2312" w:cs="楷体_GB2312"/>
          <w:b/>
          <w:bCs/>
          <w:sz w:val="32"/>
          <w:szCs w:val="32"/>
        </w:rPr>
        <w:t>第一节  深化农村综合改革</w:t>
      </w:r>
      <w:bookmarkEnd w:id="229"/>
      <w:bookmarkEnd w:id="23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巩固和完善农村基本经营制度，落实第二轮土地承包到期后再延长30年政策，深化农村承包地“三权分置”改革。积极发展多种形式的适度规模经营，加快培育家庭农场、农民合作社等新型农业经营主体，推动小农户和现代农业有机衔接。有序推进宅基地所有权、资格权、使用权分置实现路径，加大闲置宅基地和闲置房屋盘活利用力度。积极探索农村集体经营性建设用地入市制度，建立土地征收公共利益用地认证机制，深化农村集体产权制度改革，发展多种形式的股份合作和新型农村集体经济。保障进城落户农民土地承包权、宅基地使用权、集体收益分配权，鼓励依法自愿有偿转让，到2025年全县农村集体经营性资产实现“三变”达到50%以上。持续深化供销社合作社综合改革，拓展服务领域，推动成为服务农民生产生活的综合平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31" w:name="_Toc77152177"/>
      <w:bookmarkStart w:id="232" w:name="_Toc25513"/>
      <w:r>
        <w:rPr>
          <w:rFonts w:hint="eastAsia" w:ascii="楷体_GB2312" w:hAnsi="楷体_GB2312" w:eastAsia="楷体_GB2312" w:cs="楷体_GB2312"/>
          <w:b/>
          <w:bCs/>
          <w:sz w:val="32"/>
          <w:szCs w:val="32"/>
        </w:rPr>
        <w:t>第二节  促进各类要素更多向乡村流动</w:t>
      </w:r>
      <w:bookmarkEnd w:id="231"/>
      <w:bookmarkEnd w:id="23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人才入乡激励机制，吸引优秀农民工、科技人员、大学生、退役军人、在外乡贤等各类人才返乡入乡创业，鼓励农村集体经济组织探索人才加入机制，推进返乡创业示范县建设，健全科技特派员制度，加强对农业科技人员成果转化推广激励，允许农业科技人员通过与农村实体结成利益共同体或提供增值服务合理取酬，落实各项财政支农惠农政策，引导各类社会资本投入农业农村领域，鼓励工商资本到乡村发展农民参与度高、受益面广的乡村产业。完善金融支农政策，探索拓展农村融资抵押担保试用标的物和金融产品，推进农业保险扩面增品提标，扩大农产品“保险+期货”试点，培育城乡融合发展载体，积极创建城乡融合发展试验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33" w:name="_Toc77152178"/>
      <w:bookmarkStart w:id="234" w:name="_Toc14513"/>
      <w:r>
        <w:rPr>
          <w:rFonts w:hint="eastAsia" w:ascii="黑体" w:hAnsi="黑体" w:eastAsia="黑体" w:cs="黑体"/>
          <w:sz w:val="32"/>
          <w:szCs w:val="32"/>
        </w:rPr>
        <w:t>第三十章  实现巩固拓展脱贫攻坚成果同乡村振兴</w:t>
      </w:r>
      <w:bookmarkEnd w:id="233"/>
      <w:bookmarkStart w:id="235" w:name="_Toc77152179"/>
      <w:r>
        <w:rPr>
          <w:rFonts w:hint="eastAsia" w:ascii="黑体" w:hAnsi="黑体" w:eastAsia="黑体" w:cs="黑体"/>
          <w:sz w:val="32"/>
          <w:szCs w:val="32"/>
        </w:rPr>
        <w:t>有效衔接</w:t>
      </w:r>
      <w:bookmarkEnd w:id="234"/>
      <w:bookmarkEnd w:id="23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全面推进脱贫</w:t>
      </w:r>
      <w:r>
        <w:rPr>
          <w:rFonts w:hint="eastAsia" w:ascii="仿宋_GB2312" w:hAnsi="仿宋_GB2312" w:eastAsia="仿宋_GB2312" w:cs="仿宋_GB2312"/>
          <w:sz w:val="32"/>
          <w:szCs w:val="32"/>
          <w:lang w:eastAsia="zh-CN"/>
        </w:rPr>
        <w:t>攻坚</w:t>
      </w:r>
      <w:r>
        <w:rPr>
          <w:rFonts w:hint="eastAsia" w:ascii="仿宋_GB2312" w:hAnsi="仿宋_GB2312" w:eastAsia="仿宋_GB2312" w:cs="仿宋_GB2312"/>
          <w:sz w:val="32"/>
          <w:szCs w:val="32"/>
        </w:rPr>
        <w:t>与乡村振兴有效衔接，推动减贫战略和工作体系平稳转型，健全完善脱贫攻坚和民生兜底保障制度，建立农村低收入人口帮扶机制，保持财政投入力度，总体稳定，持续推进脱贫地区发展，让脱贫群众过上更加幸福美好生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36" w:name="_Toc77152180"/>
      <w:bookmarkStart w:id="237" w:name="_Toc23747"/>
      <w:r>
        <w:rPr>
          <w:rFonts w:hint="eastAsia" w:ascii="楷体_GB2312" w:hAnsi="楷体_GB2312" w:eastAsia="楷体_GB2312" w:cs="楷体_GB2312"/>
          <w:b/>
          <w:bCs/>
          <w:sz w:val="32"/>
          <w:szCs w:val="32"/>
        </w:rPr>
        <w:t>第一节  巩固拓展脱贫攻坚成果</w:t>
      </w:r>
      <w:bookmarkEnd w:id="236"/>
      <w:bookmarkEnd w:id="23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推动减贫战略和工作体系平稳转型，严格落实过渡期内“四个不摘”政策，确保已脱贫人口不返贫，易</w:t>
      </w:r>
      <w:r>
        <w:rPr>
          <w:rFonts w:hint="eastAsia" w:ascii="仿宋_GB2312" w:hAnsi="仿宋_GB2312" w:eastAsia="仿宋_GB2312" w:cs="仿宋_GB2312"/>
          <w:sz w:val="32"/>
          <w:szCs w:val="32"/>
          <w:lang w:eastAsia="zh-CN"/>
        </w:rPr>
        <w:t>致</w:t>
      </w:r>
      <w:r>
        <w:rPr>
          <w:rFonts w:hint="eastAsia" w:ascii="仿宋_GB2312" w:hAnsi="仿宋_GB2312" w:eastAsia="仿宋_GB2312" w:cs="仿宋_GB2312"/>
          <w:sz w:val="32"/>
          <w:szCs w:val="32"/>
        </w:rPr>
        <w:t>贫人口不入贫。健全防止返贫监测和帮扶机制，对易返贫致贫人口实施常态化监测，重点监测收入水平变化和“两不愁三保障”巩固情况。继续精准施策，加强扶贫项目资金资产管理和监督，推动扶贫产业可持续发展，扎实做好帮扶工作，促进易</w:t>
      </w:r>
      <w:r>
        <w:rPr>
          <w:rFonts w:hint="eastAsia" w:ascii="仿宋_GB2312" w:hAnsi="仿宋_GB2312" w:eastAsia="仿宋_GB2312" w:cs="仿宋_GB2312"/>
          <w:sz w:val="32"/>
          <w:szCs w:val="32"/>
          <w:lang w:eastAsia="zh-CN"/>
        </w:rPr>
        <w:t>致</w:t>
      </w:r>
      <w:r>
        <w:rPr>
          <w:rFonts w:hint="eastAsia" w:ascii="仿宋_GB2312" w:hAnsi="仿宋_GB2312" w:eastAsia="仿宋_GB2312" w:cs="仿宋_GB2312"/>
          <w:sz w:val="32"/>
          <w:szCs w:val="32"/>
        </w:rPr>
        <w:t>贫群众尽快融入新生活。持续开展消费</w:t>
      </w:r>
      <w:r>
        <w:rPr>
          <w:rFonts w:hint="eastAsia" w:ascii="仿宋_GB2312" w:hAnsi="仿宋_GB2312" w:eastAsia="仿宋_GB2312" w:cs="仿宋_GB2312"/>
          <w:sz w:val="32"/>
          <w:szCs w:val="32"/>
          <w:lang w:eastAsia="zh-CN"/>
        </w:rPr>
        <w:t>扶</w:t>
      </w:r>
      <w:r>
        <w:rPr>
          <w:rFonts w:hint="eastAsia" w:ascii="仿宋_GB2312" w:hAnsi="仿宋_GB2312" w:eastAsia="仿宋_GB2312" w:cs="仿宋_GB2312"/>
          <w:sz w:val="32"/>
          <w:szCs w:val="32"/>
        </w:rPr>
        <w:t>贫和扶贫扶智，不断加大以工代赈投入，扩大实施范围和收益对象，健全农村社会保障和救助制度，推动</w:t>
      </w:r>
      <w:r>
        <w:rPr>
          <w:rFonts w:hint="eastAsia" w:ascii="仿宋_GB2312" w:hAnsi="仿宋_GB2312" w:eastAsia="仿宋_GB2312" w:cs="仿宋_GB2312"/>
          <w:sz w:val="32"/>
          <w:szCs w:val="32"/>
          <w:lang w:eastAsia="zh-CN"/>
        </w:rPr>
        <w:t>低保提标扩面</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38" w:name="_Toc77152181"/>
      <w:bookmarkStart w:id="239" w:name="_Toc26109"/>
      <w:r>
        <w:rPr>
          <w:rFonts w:hint="eastAsia" w:ascii="楷体_GB2312" w:hAnsi="楷体_GB2312" w:eastAsia="楷体_GB2312" w:cs="楷体_GB2312"/>
          <w:b/>
          <w:bCs/>
          <w:sz w:val="32"/>
          <w:szCs w:val="32"/>
        </w:rPr>
        <w:t>第二节  提升脱贫地区整体发展水平</w:t>
      </w:r>
      <w:bookmarkEnd w:id="238"/>
      <w:bookmarkEnd w:id="23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持财政投入力度总体稳定，做好财政投入、金融服务、土地支持、人才引进等政策衔接，继续支持脱贫地区基础设施建设、公共服务水平提升。注重脱贫地区产业后续长期培育，加快发展乡村特色产业，实施特色种养业提升行动，完善全产业链支持措施，发展绿色食品有机农产品地理标识农产品，促进农民持续增收。推动脱贫地区城乡建设用地增减挂钩节余指标在省内交易，完善对口帮扶机制，开展“千企帮千村”活动，巩固脱贫成果，积极创建省级农民工返乡创业示范园、</w:t>
      </w:r>
      <w:r>
        <w:rPr>
          <w:rFonts w:hint="eastAsia" w:ascii="仿宋_GB2312" w:hAnsi="仿宋_GB2312" w:eastAsia="仿宋_GB2312" w:cs="仿宋_GB2312"/>
          <w:sz w:val="32"/>
          <w:szCs w:val="32"/>
          <w:lang w:val="zh-CN"/>
        </w:rPr>
        <w:t>建设“巧媳妇”创业孵化基地和众创空间，</w:t>
      </w:r>
      <w:r>
        <w:rPr>
          <w:rFonts w:hint="eastAsia" w:ascii="仿宋_GB2312" w:hAnsi="仿宋_GB2312" w:eastAsia="仿宋_GB2312" w:cs="仿宋_GB2312"/>
          <w:sz w:val="32"/>
          <w:szCs w:val="32"/>
        </w:rPr>
        <w:t>大力支持返乡农民工兴办环境友好型和劳动密集型企业 ，发展“家庭工厂”、电商配送、“手工做坊”、“创业小站”、养老托幼、“杂粮加工”等就业平台，拓宽就业渠道和灵活就业方式，增强发展内生动力，争创乡村振兴重点帮扶县。</w:t>
      </w:r>
    </w:p>
    <w:p>
      <w:pPr>
        <w:pStyle w:val="2"/>
        <w:rPr>
          <w:rFonts w:hint="eastAsia"/>
        </w:rPr>
      </w:pPr>
    </w:p>
    <w:tbl>
      <w:tblPr>
        <w:tblStyle w:val="26"/>
        <w:tblW w:w="85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trPr>
        <w:tc>
          <w:tcPr>
            <w:tcW w:w="8500"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lang w:val="en-US" w:eastAsia="zh-CN"/>
              </w:rPr>
              <w:t>专栏10  乡村振兴重点工程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0"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农业现代化重大项目。（1）农副产品深加工创意产业园，主要生产经营：果蔬罐头、果蔬脱水烘干、食用菌精深加工、酵素及食用菌饮品等。（2）牧原集团生猪全产业链项目，发展16个标准化规模养殖场，形成100万头的养殖能力；建设年产30万吨饲料厂，一个年产5万吨有机肥加工厂，建成国际领先的全产业链项目。（3）田园综合体建设工程。把田园生产、田园生活、田园景观融合提升，把生态农业、观光农业和乡村旅游及其他第三产业交融集成，规划建设3-4个以田园农业为核心，融创意农业、农事体验、民宿餐饮以及新型农村社区为一体的田园综合体。近期，集中力量在郑南高速商水站附近，规划建设百果园、百花园、百树园、百谷园，依托体验农户原生态食品采摘、手工制作、农家生活，发展餐饮、文娱、民宿业等，将诸多历史文化元素、本土风情特色融入三产融合发展，讲好“五湖十八坡”、阳城遗址和齐跪台遗址故事，打造三产融合示范样板，争创国家级田园综合体。</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现代农业产业链集群培育工程。突出产业环节串珠成线、连块成带、集群成链，力争在面粉食品加工、畜产品屠宰加工、饲料加工、植物油生产加工、果蔬制品、食用菌生产加工、花卉苗木、板材加工、生物育种等行业，打造8--9个超20亿元产业链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农业技术装备现代化工程。大力推进作物品种、栽培技术和机械装备集成配套，加快推广应用设施农业、畜禽养殖机械装备，推动“机器换人”向全产业、全区域覆盖。重点提高花生和玉米收获、烘干、加工设备等装备水平，推进秸秆饲草收集、加工贮存和畜禽绿色养殖机械化。到2025年，全县主要农作物的耕种收综合机械化水平达到95%左右。依托诚信种业、土换金种业、中农福安农业装备，培育发展农资产业和农机装备产业。</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农村电商升级工程。依托智慧农业大数据平台，加快构建电商公共服务中心，着力提升电子商务管理运营能力、物流配送能力、品牌推广能力和示范带动能力，擦亮“商善若水”国家电商品牌。完善农产品标准化生产认证、品牌培育、质量追溯等综合服务体系，推动农产品、农村工业品以及服务产品电商化。支持农业产业化龙头企业创建门户商务网，培育一批农产品电商骨干企业，到2022年，建成一个功能齐全运营高效的电商服务中心，24个镇级电商服务站和360个村级服务点。</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农产品流通体系建设工程。大力推广“生产基地+批发市场+物流配送+电子商务”的农产品流通模式，构建贯通生产流通消费、线上线下深度融合的农村现代流通网络。布局建设3-4个设施功能完备、管理先进、具有区域影响力的农产品集散中心、展销中心和物流加工配送中心。积极发展冷链物流，支持农产品批发市场建设冷藏冷冻、流通加工冷链设施 。支持批发市场和物流企业向农产品生产和消费两端延伸经营链条，培育一批具有较强供应链整合能力的农产品物流企业。鼓励农产品生产加工企业在城市社区设立直供直销专区，搭建产销对接平台。</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农村现代服务体系建设工程。实施农业产业化龙头企业提升行动，集中扶持8---10个新型农业产业化联合体，以此为支撑，规范发展农机、灌溉、疫病防治、质量检验检测等专业化服务。加快发展农业技术推广服务体系，推广应用互联网+、电子商务、智慧农业、数字农业等信息技术，构建覆盖全县的智能化监测预警体系和疫情灾害应急处置体系。</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乡村旅游产业开发工程。依托特色优势农业和自然生态资源、传统文化资源，深度挖掘农业观光、采摘、体验、创意、休闲、科普教育、健康养生等新功能新价值，打造周口都市区后花园。积极开发农耕文化、民俗文化、传统技艺、民间作坊、特色民居、土特产品等，着力打造“听乡曲、品乡味、看乡景、住乡居、忆乡愁”的全视角乡村旅游产业集群。到2025年，力争打造4—5个乡村旅游精品景区和3--4个年综合收入超500万元的乡村旅游产业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8、农业现代化示范区建设工程。突出园区化布局，引导各类龙头企业向园区集中，促进原料生产、精深加工、科技服务、体验展示、物流配送有机衔接，着力打造5--6个综合收入超亿元的示范性园区平台。（1）现代农业产业园建设工程。以品牌和特色为主导，以要素集聚化、耕作机械化、产品优质化为导向，规划建设2---3个现代农业产业园区。按照整体布局、组团建设的思路，统一构建综合服务体系，分区建设生态农业片区、设施农业片区、循环农业片区、精准高效农业片区等，打造一批小众类、中高端、精致化的乡村特色产业生产基地，更好地发挥国家粮食生产核心区示范作用。（2）农业科技示范园建设工程。以生物农业、智慧农业为主攻方向 ，按照“一区一主题”的思路，规划建设2---3个农业科技示范园区，创建政策集成、要素集聚、功能集合、企业集中的现代农业样板区、“双创”实训孵化基地和农业科技创新驱动先行区，力争建成国家农业科技示范园。（3）农村产业融合示范园建设工程。以探索三产融合新产业、新业态、新模式为主攻方向，规划建设2---3个产业融合示范园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9、第一产业空间布局</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高产观光农业带：规划布局于郝岗乡、张明乡、谭庄镇、邓城镇、张庄乡、汤庄乡、化河乡、练集镇、黄寨镇等乡镇。该带西北部主要为高产农业，东南部主要为果蔬采摘休闲观光农业。包括果品类栽培种植、温棚绿色有机蔬菜种植、生态有机养殖等可供游人采摘休闲、观光游览的农业。</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畜牧养殖区：规划布局于固墙镇、袁老乡、平店乡等乡镇。重点建设标准化规模养殖区、综合生态养殖区，积极发展畜牧产品深加工业。</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双孢菇菌类、有机蔬菜产品生产加工区：规划布局于魏集镇和胡吉镇等地，形成特色农业生产基地，以此推动菌类工厂化生产、规模养殖与温棚蔬菜种植的有机结合，推动低碳农业与生态农业的快速发展，大力发展蔬菜产品加工业，形成特色蔬菜产业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农产品加工园区：依托谭庄镇工业园区，重点发展农产品加工业，拉长农产品加工链条，打造以特色种植业为基础的产业集群。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畜产品加工园区：依托固墙镇工业园区，重点发展畜产品加工业，拉长加工链条，打造以特色畜牧业为基础的产业集群。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板材工业园区：依托白寺镇工业园区板材加工基础，大力发展板材深加工，构建半成品板材—成品板材—家具制造产业链，打造板材加工业产业集群。</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10、农业产业强镇、强村建设工程。聚焦镇（乡）域1―2个主导产业，吸引资本聚镇、能人入镇、技术进镇，建设一批标准原料基地、集约加工转化、区域主导产业、紧密利益联结于一体的农业产业强镇，打造主业强、百业兴、宜居宜业的农民区域服务中心，重点打造2--3个乡村特色产业产值超10亿元的强镇。依托乡村特色优势资源，拓展乡村特色产业，建设富有特色、规模适中、辐射带动力强的乡村产业集聚区，培育一批“产品小而特、业态精而美、布局聚而合”的“一村一品”示范村镇，形成一村带数村、多村连成片的发展格局，打造形成3--5个乡村特色产业产值超亿元的强村。</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p>
        </w:tc>
      </w:tr>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240" w:name="_Toc77152182"/>
      <w:bookmarkStart w:id="241" w:name="_Toc3377"/>
      <w:bookmarkStart w:id="242" w:name="_Toc52961995"/>
      <w:bookmarkStart w:id="243" w:name="_Toc31324"/>
      <w:r>
        <w:rPr>
          <w:rFonts w:hint="eastAsia" w:ascii="黑体" w:hAnsi="黑体" w:eastAsia="黑体" w:cs="黑体"/>
          <w:sz w:val="32"/>
          <w:szCs w:val="32"/>
        </w:rPr>
        <w:t>第八篇  全面推进生态文明建设</w:t>
      </w:r>
      <w:bookmarkEnd w:id="240"/>
      <w:bookmarkEnd w:id="24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坚持绿水青山就是金山银山理论，深入实施可持续发展战略，完善生态文明领域统筹协调机制，构建生态文明体系，推进经济社会发展全面绿色转型，促进人与自然和谐共生。</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44" w:name="_Toc12239"/>
      <w:bookmarkStart w:id="245" w:name="_Toc77152183"/>
      <w:bookmarkStart w:id="246" w:name="_Toc33630658"/>
      <w:bookmarkStart w:id="247" w:name="_Toc9564"/>
      <w:r>
        <w:rPr>
          <w:rFonts w:hint="eastAsia" w:ascii="黑体" w:hAnsi="黑体" w:eastAsia="黑体" w:cs="黑体"/>
          <w:sz w:val="32"/>
          <w:szCs w:val="32"/>
        </w:rPr>
        <w:t>第三十一章  加快囯土生态化综合整治</w:t>
      </w:r>
      <w:bookmarkEnd w:id="244"/>
      <w:bookmarkEnd w:id="245"/>
      <w:bookmarkEnd w:id="246"/>
      <w:bookmarkEnd w:id="24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牢固树立绿色发展理念，把生态保护与高质量发展紧密结合起来，注重生态环境保护和治理的系统性、整体性、协同性，推进国土空间生态化。实施“绿满商水”国土绿化行动，重点推进生态廊道建设、河岸、荒滩绿化和农田林网、城市防护林带建设改造提升工程，优化林木树种结构，注重造林质量。开展田林河湖一体化国土绿化整治，重点实施沙颍河、汾河沿河生态护坡、生态防护林、生态河岸缓冲带工程和水生生物功能群构建工程，抓紧完成南水北调沿线生态修复、牧原西路防护林带和湿地公园建设工程，提升河湖生态系统功能。加大对河湖滩涂、残次林、干枯沟塘、废弃农舍和低效用地整治力度，开发土地后备资源。构建城市绿色生活圈、环城生态防护圈，优化城乡一体、功能完善的生态园林系统，高标准建设天蓝地绿、田园秀美的生态商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48" w:name="_Toc33630660"/>
      <w:bookmarkStart w:id="249" w:name="_Toc77152184"/>
      <w:bookmarkStart w:id="250" w:name="_Toc29590"/>
      <w:bookmarkStart w:id="251" w:name="_Toc28724"/>
      <w:r>
        <w:rPr>
          <w:rFonts w:hint="eastAsia" w:ascii="黑体" w:hAnsi="黑体" w:eastAsia="黑体" w:cs="黑体"/>
          <w:sz w:val="32"/>
          <w:szCs w:val="32"/>
        </w:rPr>
        <w:t>第三十二章  深入打好污染防治攻坚战</w:t>
      </w:r>
      <w:bookmarkEnd w:id="248"/>
      <w:bookmarkEnd w:id="249"/>
      <w:bookmarkEnd w:id="250"/>
      <w:bookmarkEnd w:id="25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坚持源头严控、过程严管、末端严治，实施最严格的环境保护制度，深入开展污染防治行动，基本消除群众关注的突出环境污染问题，持续改善环境质量。</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52" w:name="_Toc77152185"/>
      <w:bookmarkStart w:id="253" w:name="_Toc24463"/>
      <w:r>
        <w:rPr>
          <w:rFonts w:hint="eastAsia" w:ascii="楷体_GB2312" w:hAnsi="楷体_GB2312" w:eastAsia="楷体_GB2312" w:cs="楷体_GB2312"/>
          <w:b/>
          <w:bCs/>
          <w:sz w:val="32"/>
          <w:szCs w:val="32"/>
        </w:rPr>
        <w:t>第一节  强化大气污染精准防治</w:t>
      </w:r>
      <w:bookmarkEnd w:id="252"/>
      <w:bookmarkEnd w:id="25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深入实施城市空气质量达标行动计划，实行差异化、精细化、动态化管理，突出重点管控的空间、时段、行业领域和污染物，加强PM2.5与臭氧协同控制，遏制臭氧浓度增长趋势，基本消除重污染天气。加强对重点污染源的管控治理，抓实工业超低排放、大型燃煤锅炉提标治理、扬尘治理、场站达标等，积极创建空气质量国家二级标准城市。严格实施污染企业“红黄蓝绿”标识管理，加快城市建成区和城镇人口密度区重污染企业搬迁改造。实施更为严格的污染物排放标准，加快建材等非电行业超低排放改造，加强工业窑炉深度治理。严格挥发性有机物产品准入和监控，推进印染、喷涂等重点行业挥发性有机污染物全过程综合整治，加强散煤、扬尘、氨等污染控制。积极推广新能源运输工具，强化车油联合管控和非道路移动源污染防治。健全重污染天气联防控制体系和预警应急响应机制，实施重点行业环保绩效分级和差别化管控。</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54" w:name="_Toc77152186"/>
      <w:bookmarkStart w:id="255" w:name="_Toc17415"/>
      <w:r>
        <w:rPr>
          <w:rFonts w:hint="eastAsia" w:ascii="楷体_GB2312" w:hAnsi="楷体_GB2312" w:eastAsia="楷体_GB2312" w:cs="楷体_GB2312"/>
          <w:b/>
          <w:bCs/>
          <w:sz w:val="32"/>
          <w:szCs w:val="32"/>
        </w:rPr>
        <w:t>第二节  深化水污染综合治理</w:t>
      </w:r>
      <w:bookmarkEnd w:id="254"/>
      <w:bookmarkEnd w:id="25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续打好碧水保卫战，重点加强沙河、汾河、清水河、新枯河、黄碱沟、青龙河、界沟河等主、支干河流水污染治理，完善“河长制”巡河、清河常态化工作机制。加强水源地保护，全面提升自然生态系统功能和稳定性。综合运用截污治污、河湖清淤、生物控制等措施，恢复河塘行蓄能力，推进生态修复。深入开展入河排污口、城镇黑臭水体、农村生活污水、地下水污染等综合治理，全面完成乡镇政府所在地生活污水处理设施及配套管网建设，积极向周边村庄铺设，以达到农村生活污水处理率逐年递增的要求，严格保护良好水体，确保饮用水水源地水质100%达标。</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56" w:name="_Toc77152187"/>
      <w:bookmarkStart w:id="257" w:name="_Toc22647"/>
      <w:r>
        <w:rPr>
          <w:rFonts w:hint="eastAsia" w:ascii="楷体_GB2312" w:hAnsi="楷体_GB2312" w:eastAsia="楷体_GB2312" w:cs="楷体_GB2312"/>
          <w:b/>
          <w:bCs/>
          <w:sz w:val="32"/>
          <w:szCs w:val="32"/>
        </w:rPr>
        <w:t>第三节 保障土地环境安全</w:t>
      </w:r>
      <w:bookmarkEnd w:id="256"/>
      <w:bookmarkEnd w:id="25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格农用地土壤分类管理和监测监控，推进受污染耕地安全利用和治理修复。推进农村面源污染防控和土地污染治理，加强土壤环境监管和监测能力建设，开展涉鎘等重金属重点行业企业排查工作，确保2025年重金属污染物排放量与2020年相比实现零增长，受污染地块安全利用率力争达到100%。加强垃圾收运和集中处理设施建设，扩大处理能力和向乡镇的覆盖面。推行畜禽生态养殖模式，促进养殖废弃物收集处理和转化利用。加大危险废弃物、卫生医疗废弃物污染防治力度。推进环境保护大数据建设，完善实时在线环境监测监控系统。</w:t>
      </w:r>
      <w:bookmarkStart w:id="258" w:name="_Toc33630659"/>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59" w:name="_Toc77152188"/>
      <w:bookmarkStart w:id="260" w:name="_Toc2380"/>
      <w:bookmarkStart w:id="261" w:name="_Toc16462"/>
      <w:r>
        <w:rPr>
          <w:rFonts w:hint="eastAsia" w:ascii="黑体" w:hAnsi="黑体" w:eastAsia="黑体" w:cs="黑体"/>
          <w:sz w:val="32"/>
          <w:szCs w:val="32"/>
        </w:rPr>
        <w:t>第三十三章  推动绿色低碳发展</w:t>
      </w:r>
      <w:bookmarkEnd w:id="259"/>
      <w:bookmarkEnd w:id="26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绿色化、资源化、循环化，持续优化调整产业结构、能源结构、运输结构、用地结构和农业投入结构，推进资源总量管理、科学配置、全面节约、循环利用，积极应对气候变化，加快形成绿色低碳循环发展的经济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62" w:name="_Toc77152189"/>
      <w:bookmarkStart w:id="263" w:name="_Toc20816"/>
      <w:r>
        <w:rPr>
          <w:rFonts w:hint="eastAsia" w:ascii="楷体_GB2312" w:hAnsi="楷体_GB2312" w:eastAsia="楷体_GB2312" w:cs="楷体_GB2312"/>
          <w:b/>
          <w:bCs/>
          <w:sz w:val="32"/>
          <w:szCs w:val="32"/>
        </w:rPr>
        <w:t>第一节  提高资源综合利用效率</w:t>
      </w:r>
      <w:bookmarkEnd w:id="262"/>
      <w:bookmarkEnd w:id="26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能源消费总量和强度双控，实行用能预算管理，压实节能减煤降耗目标责任，实施区域能评制度，建立区域负面准入清单。强化固定资产投资项目节能审查，严把能耗准入关口，从严控制高耗能、高排放项目建设。强化重点用能单位节能管理，固定资产投资项目节能监察，促进节约用能、合理用能。充分发挥能耗在线监测系统作用，严格能源利用状况报告制度，提升重点用能单位的能效水平。加快工业、建筑、交通、公共机构等重点领域综合节能改造，规划建设智慧节能综合服务平台。严格落实水资源消耗总量和强度双控，优化用水结构，实施深度节水控水行动，强化雨水、污水等非常规水资源化利用。推行能效水效“领跑者”制度，加强先进节能节水技术、产品、设备应用，推广合同能源管理、能源梯级利用、智慧用水管理等服务模式。</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64" w:name="_Toc77152190"/>
      <w:bookmarkStart w:id="265" w:name="_Toc15084"/>
      <w:r>
        <w:rPr>
          <w:rFonts w:hint="eastAsia" w:ascii="楷体_GB2312" w:hAnsi="楷体_GB2312" w:eastAsia="楷体_GB2312" w:cs="楷体_GB2312"/>
          <w:b/>
          <w:bCs/>
          <w:sz w:val="32"/>
          <w:szCs w:val="32"/>
        </w:rPr>
        <w:t>第二节  持续降低碳排放强度</w:t>
      </w:r>
      <w:bookmarkEnd w:id="264"/>
      <w:bookmarkEnd w:id="26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制定碳排放达峰行动方案，建立以碳强度控制为主，碳排放总量控制为辅的制度，力争如期实现碳达峰、碳中和。科学合理控制煤炭消费总量，严格控制非电行业煤炭消费，大力发展清洁能源，提高清洁低碳能源比重。推进大气污染物与温室气体协同减排，加大甲烷、氢氟碳化物等其他温室气体控制力度。加快重点领域低碳技术研发和推广使用，引导企业自愿减排温室气体，积极开展低碳城市、低碳园区、低碳社区、低碳工程等试点，创建提升碳汇规模和质量，加强碳减排统计、核查、监管等基础能力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66" w:name="_Toc77152191"/>
      <w:bookmarkStart w:id="267" w:name="_Toc1424"/>
      <w:r>
        <w:rPr>
          <w:rFonts w:hint="eastAsia" w:ascii="楷体_GB2312" w:hAnsi="楷体_GB2312" w:eastAsia="楷体_GB2312" w:cs="楷体_GB2312"/>
          <w:b/>
          <w:bCs/>
          <w:sz w:val="32"/>
          <w:szCs w:val="32"/>
        </w:rPr>
        <w:t>第三节  加快形成绿色生产生活方式</w:t>
      </w:r>
      <w:bookmarkEnd w:id="266"/>
      <w:bookmarkEnd w:id="26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严守生态保护红线、环境质量底线、资源利用上限和生态环境准入清单，开展重大产业布局环境影响评价和重大环境政策经济社会影响评估，实施生态环境分区管控。综合运用环保、能耗、质量、安全等政策，依法淘汰落后产能，化解过剩产能，严控“散乱污”企业死灰复燃和向乡村转移。严格落实强制性清洁生产审核政策，鼓励企业开展自愿清洁生产审核。扩大生活垃圾分类试点，建立健全分类投放收集运输和处理体系，实现无害化、减量化、资源化利用。积极发展绿色建筑，加快既有建筑绿色改造，推广绿色建材装配式建筑和钢结构住宅，推进新型建筑工业化发展。倡导和践行简约舒适绿色低碳的生活理念和生活方式，深入推进绿色生活创建、文明用餐、节俭消费，坚决制止餐饮浪费行为。扩大政府绿色产品采购规模，推广节能家电、高效照明产品、节水器具等绿色产品，营造节节约能源和绿色环保的社会风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68" w:name="_Toc77152192"/>
      <w:bookmarkStart w:id="269" w:name="_Toc27120"/>
      <w:r>
        <w:rPr>
          <w:rFonts w:hint="eastAsia" w:ascii="楷体_GB2312" w:hAnsi="楷体_GB2312" w:eastAsia="楷体_GB2312" w:cs="楷体_GB2312"/>
          <w:b/>
          <w:bCs/>
          <w:sz w:val="32"/>
          <w:szCs w:val="32"/>
        </w:rPr>
        <w:t>第四节  大力发展循环经济</w:t>
      </w:r>
      <w:bookmarkEnd w:id="268"/>
      <w:bookmarkEnd w:id="26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产业集聚区为重点，推进园区循环化改造，强化不同行业间和上下游企业间原料产品互供、能源资源协同利用，推广使用再生产品和再生原料，加强企业、园区、城镇间能源资源等设施共建共享，建立循环经济产业链。健全废旧物资回收、分拣和循环利用体系，推进快递包装可循环、可降解、易回收，加快节能环保产业发展，加强先进节能、节水环保技术研发和服务模式创新，推进有毒有害原料清洁化替代，培育一批专业化骨干企业，打造优势产业集群。</w:t>
      </w:r>
    </w:p>
    <w:bookmarkEnd w:id="258"/>
    <w:bookmarkEnd w:id="261"/>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70" w:name="_Toc77152193"/>
      <w:bookmarkStart w:id="271" w:name="_Toc8158"/>
      <w:r>
        <w:rPr>
          <w:rFonts w:hint="eastAsia" w:ascii="楷体_GB2312" w:hAnsi="楷体_GB2312" w:eastAsia="楷体_GB2312" w:cs="楷体_GB2312"/>
          <w:b/>
          <w:bCs/>
          <w:sz w:val="32"/>
          <w:szCs w:val="32"/>
        </w:rPr>
        <w:t>第五节  健全绿色发展政策体系</w:t>
      </w:r>
      <w:bookmarkEnd w:id="270"/>
      <w:bookmarkEnd w:id="27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环境保护、节能减排约束性指标管理，健全差别化电价、峰谷分时电价、居民用水电气阶梯价格、城镇非居民用水超定额累进加价等价格政策。推进居民供热分户计量改造和按用热量计价收费，完善污水、垃圾、危险废物处理收费政策和收费标准动态调整机制。积极推动非居民用气价格市场化改革，完善资源有偿使用机制。推进排污权、用能权、用水权、碳排放权市场化交易，加快绿色技术创新和应用，积极发展绿色金融产品，实施绿色产品第三方认证。</w:t>
      </w:r>
    </w:p>
    <w:p>
      <w:pPr>
        <w:pStyle w:val="2"/>
        <w:rPr>
          <w:rFonts w:hint="eastAsia"/>
        </w:rPr>
      </w:pPr>
    </w:p>
    <w:tbl>
      <w:tblPr>
        <w:tblStyle w:val="26"/>
        <w:tblW w:w="81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88"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lang w:val="en-US" w:eastAsia="zh-CN"/>
              </w:rPr>
              <w:t>专栏11   生态环境建设重大工程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8"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1、商水县饮用水源地隔离防护及勘界综合整治项目。对19个乡镇集中式饮用水源地99眼水井一级保护区勘界，设置界标、交通警示标志和宣传牌，建设井房等保护水源地。</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2、沙颍河商水段沿河生态河岸缓冲带建设工程。长度45.5公里，宽度为沙颍河临水岸线至河岸公路约33m，包括缓冲带生态构建、生态护坡、生态防护林。</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3、商水县汾河水生态修复工程项目。长度40.815km，宽度为汾河临水岸线至河堤岸道路约33m,包括生态护岸、缓冲带构建、生态防护林、水生生物功能群构建等4部分。</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农村生活污水治理项目。建设分散式污水处理终端管网，推进城镇污水管网和服务向周边村庄延伸覆盖，加快污水集中处理设施建设，增强乡镇污水处理能力。加快农村生活垃圾源头分类、就地减量和资源化利用示范点建设，推进畜禽散养密集区实现粪便污水分户收集、集中处理利用，到2025年粪污综合利用率达到90%以上，规模养殖场粪污处理设施装备配套率达到100%。</w:t>
            </w:r>
          </w:p>
        </w:tc>
      </w:tr>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272" w:name="_Toc77152194"/>
      <w:bookmarkStart w:id="273" w:name="_Toc1304"/>
      <w:bookmarkStart w:id="274" w:name="_Toc21202"/>
      <w:r>
        <w:rPr>
          <w:rFonts w:hint="eastAsia" w:ascii="黑体" w:hAnsi="黑体" w:eastAsia="黑体" w:cs="黑体"/>
          <w:sz w:val="32"/>
          <w:szCs w:val="32"/>
        </w:rPr>
        <w:t>第九篇  打造高水平的开放高地</w:t>
      </w:r>
      <w:bookmarkEnd w:id="272"/>
      <w:bookmarkEnd w:id="27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深入实施“开放活县”战略，积极参与共建“一带一路”，持续强化区域合作，增强开放内外联动性，发展壮大开放型经济，打造中原港城开放新高地。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75" w:name="_Toc77152195"/>
      <w:bookmarkStart w:id="276" w:name="_Toc28619"/>
      <w:r>
        <w:rPr>
          <w:rFonts w:hint="eastAsia" w:ascii="黑体" w:hAnsi="黑体" w:eastAsia="黑体" w:cs="黑体"/>
          <w:sz w:val="32"/>
          <w:szCs w:val="32"/>
        </w:rPr>
        <w:t xml:space="preserve">第三十四章  </w:t>
      </w:r>
      <w:bookmarkEnd w:id="274"/>
      <w:bookmarkStart w:id="277" w:name="_Toc15851"/>
      <w:r>
        <w:rPr>
          <w:rFonts w:hint="eastAsia" w:ascii="黑体" w:hAnsi="黑体" w:eastAsia="黑体" w:cs="黑体"/>
          <w:sz w:val="32"/>
          <w:szCs w:val="32"/>
        </w:rPr>
        <w:t>完善对外开放载体</w:t>
      </w:r>
      <w:bookmarkEnd w:id="275"/>
      <w:bookmarkEnd w:id="27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积极融入河南省“四条丝绸之路”，畅通开放通道，加强口岸建设，提升重大载体平台开放能级，建设铁路公路无水港一体化发展的物流服务网络，打造中原港城开放枢纽重要的支撑平台。</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78" w:name="_Toc77152196"/>
      <w:bookmarkStart w:id="279" w:name="_Toc4672"/>
      <w:r>
        <w:rPr>
          <w:rFonts w:hint="eastAsia" w:ascii="楷体_GB2312" w:hAnsi="楷体_GB2312" w:eastAsia="楷体_GB2312" w:cs="楷体_GB2312"/>
          <w:b/>
          <w:bCs/>
          <w:sz w:val="32"/>
          <w:szCs w:val="32"/>
        </w:rPr>
        <w:t>第一节  畅通开放通道</w:t>
      </w:r>
      <w:bookmarkEnd w:id="278"/>
      <w:bookmarkEnd w:id="27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全面参与省“空中丝绸之路”、“陆上丝绸之路”、“网上丝绸之路”、“海上丝绸之路”建设，</w:t>
      </w:r>
      <w:bookmarkStart w:id="280" w:name="_Toc53226741"/>
      <w:r>
        <w:rPr>
          <w:rFonts w:hint="eastAsia" w:ascii="仿宋_GB2312" w:hAnsi="仿宋_GB2312" w:eastAsia="仿宋_GB2312" w:cs="仿宋_GB2312"/>
          <w:sz w:val="32"/>
          <w:szCs w:val="32"/>
        </w:rPr>
        <w:t>积极融入“一带一路”战略</w:t>
      </w:r>
      <w:bookmarkEnd w:id="280"/>
      <w:r>
        <w:rPr>
          <w:rFonts w:hint="eastAsia" w:ascii="仿宋_GB2312" w:hAnsi="仿宋_GB2312" w:eastAsia="仿宋_GB2312" w:cs="仿宋_GB2312"/>
          <w:sz w:val="32"/>
          <w:szCs w:val="32"/>
        </w:rPr>
        <w:t>，支持大型骨干企业加快转变贸易发展方式，畅通国内国际“双循环”通道。加快工港大道公路建设以及港口铁路集疏专用线建设，构建“两纵一横四辐射”物流通道，科学布局建设商水港区货运物流枢纽，加快公路、铁路、水路的无缝衔接，推进5G、物联网等新型基础设施建设，形成“公铁水网”四位一体多式联运网络，建成豫东南综合型物流枢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完善物流集疏运体系，推进运贸一体化发展，加强与天津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日照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青岛等港口联系，大力发展公铁海联运，畅通出海通道，实现东联西进陆海相通，推进煤炭、钢铁、粮食等大宗货物运输“公转铁”“铁转水”“公转水”，构建高效绿色综合交通运输体系。聚焦港口经济发展，加强与中亚、欧洲等地区在特色农业、纺织等领域的合作，构建新亚欧大陆桥重要链接。</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81" w:name="_Toc77152197"/>
      <w:bookmarkStart w:id="282" w:name="_Toc11815"/>
      <w:r>
        <w:rPr>
          <w:rFonts w:hint="eastAsia" w:ascii="楷体_GB2312" w:hAnsi="楷体_GB2312" w:eastAsia="楷体_GB2312" w:cs="楷体_GB2312"/>
          <w:b/>
          <w:bCs/>
          <w:sz w:val="32"/>
          <w:szCs w:val="32"/>
        </w:rPr>
        <w:t>第二节  加强口岸建设</w:t>
      </w:r>
      <w:bookmarkEnd w:id="277"/>
      <w:bookmarkEnd w:id="281"/>
      <w:bookmarkEnd w:id="28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对接省自由贸易试验区，争取建设自贸区开放创新联动区，加快发展“保税+”新型贸易，建成商水保税物流中心。建立与沿海沿边沿江口岸协作机制，支持商水港发展口岸功能，支持有条件的企业申建保税仓库。完善商水港功能，打造煤炭、粮食、钢材物流中转基地和粮食现货交易中心，完善全县外向型经济公共服务平台功能，为全县涉外企业提供外贸集成服务。</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83" w:name="_Toc77152198"/>
      <w:bookmarkStart w:id="284" w:name="_Toc4048"/>
      <w:r>
        <w:rPr>
          <w:rFonts w:hint="eastAsia" w:ascii="黑体" w:hAnsi="黑体" w:eastAsia="黑体" w:cs="黑体"/>
          <w:sz w:val="32"/>
          <w:szCs w:val="32"/>
        </w:rPr>
        <w:t>第三十五章  提升开放型经济发展水平</w:t>
      </w:r>
      <w:bookmarkEnd w:id="283"/>
      <w:bookmarkEnd w:id="28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坚持高质量引进来与高水平走出去相结合，放大各类开放平台联运集成效应，加大招商引资力度，形成全方位、多层次、多元化开放格局。</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85" w:name="_Toc77152199"/>
      <w:bookmarkStart w:id="286" w:name="_Toc19753"/>
      <w:r>
        <w:rPr>
          <w:rFonts w:hint="eastAsia" w:ascii="楷体_GB2312" w:hAnsi="楷体_GB2312" w:eastAsia="楷体_GB2312" w:cs="楷体_GB2312"/>
          <w:b/>
          <w:bCs/>
          <w:sz w:val="32"/>
          <w:szCs w:val="32"/>
        </w:rPr>
        <w:t>第一节  加大招商引资力度</w:t>
      </w:r>
      <w:bookmarkEnd w:id="285"/>
      <w:bookmarkEnd w:id="28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东部地区产业转移、高校科研机构技术扩散、互联网龙头企业抢占市场、投资机构寻求资本合作、中央企业积极布局带来的机遇，完善招商引资激励政策，推行委托招商、中介招商、节会招商、驻地招商、云招商等方式，创新“头部企业”招商、核心节点企业招商、资本招商、众创孵化招商、“飞地”招商、“技术团队+资本+项目”招商等新模式。突出抓好产业链延链强链招商、龙头企业带动集群招商、协作配套以商招商、科技创新平台载体招商、农民工返乡创业招商。招引世界</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强和国内行业龙头企业来我县建设生产基地、区域性总部、研发机构、营销分支中心，引进国内外大专院校、科研单位、科技人才或人才团队来我县建立创新战略联盟、研发实验基地、农业科技示范园、高技术企业孵化园，以及合作办学等。积极引进新产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新业态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新模式企业和管理人才，来我县共同开发创客空间、互联网+、共享经济、生态旅游、健康养生、文化体育、创意农业等产业项目。</w:t>
      </w:r>
      <w:bookmarkStart w:id="287" w:name="_Hlk48232629"/>
      <w:r>
        <w:rPr>
          <w:rFonts w:hint="eastAsia" w:ascii="仿宋_GB2312" w:hAnsi="仿宋_GB2312" w:eastAsia="仿宋_GB2312" w:cs="仿宋_GB2312"/>
          <w:sz w:val="32"/>
          <w:szCs w:val="32"/>
        </w:rPr>
        <w:t>重视引进风险投资基金、资金众筹等融资方式，扩大开放合作的深度和广度。规划建设“飞地”开放合作区，探索柔性引进、异地孵化、伙伴园区、共享平台等合作模式，利用自由贸易区所有可复制的政策，构建企业最佳注册地、“最多跑一次”服务区、最完备众创空间、最具活力创新高地、最有亲和力合作平台、最低成本投资洼地。今后5年力争新签约、新开工亿元以上项目个数和总投资较“十三五”增长10%以上；产业集聚区、循环经济园区、临港经济园区每年签约投资超亿元的主导产业、先进制造业项目个数增长11%，投资额增长12%。</w:t>
      </w:r>
      <w:bookmarkEnd w:id="287"/>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88" w:name="_Toc77152200"/>
      <w:bookmarkStart w:id="289" w:name="_Toc9932"/>
      <w:r>
        <w:rPr>
          <w:rFonts w:hint="eastAsia" w:ascii="楷体_GB2312" w:hAnsi="楷体_GB2312" w:eastAsia="楷体_GB2312" w:cs="楷体_GB2312"/>
          <w:b/>
          <w:bCs/>
          <w:sz w:val="32"/>
          <w:szCs w:val="32"/>
        </w:rPr>
        <w:t>第二节  大力发展对外贸易</w:t>
      </w:r>
      <w:bookmarkEnd w:id="288"/>
      <w:bookmarkEnd w:id="28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出口品牌战略，落实外贸发展政策，支持企业建设海外仓、转口基地和国际营销网络，推进传统出口产品产业升级改造，提升服装、钎具、饲料等等传统产品出口优势，促进新兴出口产业加快发展，扩大高新技术产品出口份额，打造具有商特色的出口产业基地和品牌。支持有条件的企业发展服务外包，培育壮大一批服务外包重点企业，形成服务外包产业集群。积极开拓境外市场，培育一批适应国际通行项目管理模式的工程承包企业，建立一批高水平对外劳务合作服务平台，推动食</w:t>
      </w:r>
      <w:r>
        <w:rPr>
          <w:rFonts w:hint="eastAsia" w:ascii="仿宋_GB2312" w:hAnsi="仿宋_GB2312" w:eastAsia="仿宋_GB2312" w:cs="仿宋_GB2312"/>
          <w:spacing w:val="6"/>
          <w:sz w:val="32"/>
          <w:szCs w:val="32"/>
        </w:rPr>
        <w:t>品制造、农业产业化等技术和劳务输出，奋力开拓国际市场空间。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90" w:name="_Toc77152201"/>
      <w:bookmarkStart w:id="291" w:name="_Toc31438"/>
      <w:r>
        <w:rPr>
          <w:rFonts w:hint="eastAsia" w:ascii="楷体_GB2312" w:hAnsi="楷体_GB2312" w:eastAsia="楷体_GB2312" w:cs="楷体_GB2312"/>
          <w:b/>
          <w:bCs/>
          <w:sz w:val="32"/>
          <w:szCs w:val="32"/>
        </w:rPr>
        <w:t>第三节  持续优化外商投资环境</w:t>
      </w:r>
      <w:bookmarkEnd w:id="290"/>
      <w:bookmarkEnd w:id="29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实施外商投资法及实施条例，全面实行准入企业国民待遇加负面清单管理制度，细化外商投资，促进具体措施，促进内资，外资企业公平竞争，打造稳定公开透明可预期的开发环境，建立健全外商投资全生命周期服务和监管体系，落实白名单制度，积极推进无偿代办制，简化审批程序，促进审批时间，做好外商住房落户子女上学医疗保障的服务工作，营造亲商安商的社会氛围，建立健全外资企业投诉工作机制，依法保护外商企业合法权益。</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292" w:name="_Toc8178"/>
      <w:bookmarkStart w:id="293" w:name="_Toc77152202"/>
      <w:bookmarkStart w:id="294" w:name="_Toc23099"/>
      <w:r>
        <w:rPr>
          <w:rFonts w:hint="eastAsia" w:ascii="黑体" w:hAnsi="黑体" w:eastAsia="黑体" w:cs="黑体"/>
          <w:sz w:val="32"/>
          <w:szCs w:val="32"/>
        </w:rPr>
        <w:t xml:space="preserve">第三十六章  </w:t>
      </w:r>
      <w:bookmarkEnd w:id="292"/>
      <w:r>
        <w:rPr>
          <w:rFonts w:hint="eastAsia" w:ascii="黑体" w:hAnsi="黑体" w:eastAsia="黑体" w:cs="黑体"/>
          <w:sz w:val="32"/>
          <w:szCs w:val="32"/>
        </w:rPr>
        <w:t>强化区域合作</w:t>
      </w:r>
      <w:bookmarkEnd w:id="293"/>
      <w:bookmarkEnd w:id="29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畅通开放合作通道，健全协调联动和合作对接机制，主动加强全方位对接合作，提高开放合作水平，强化商水在区域经济循环中的节点功能。</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95" w:name="_Toc77152203"/>
      <w:bookmarkStart w:id="296" w:name="_Toc28426"/>
      <w:r>
        <w:rPr>
          <w:rFonts w:hint="eastAsia" w:ascii="楷体_GB2312" w:hAnsi="楷体_GB2312" w:eastAsia="楷体_GB2312" w:cs="楷体_GB2312"/>
          <w:b/>
          <w:bCs/>
          <w:sz w:val="32"/>
          <w:szCs w:val="32"/>
        </w:rPr>
        <w:t>第一节  加强省内协同联动发展</w:t>
      </w:r>
      <w:bookmarkEnd w:id="295"/>
      <w:bookmarkEnd w:id="29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与周口、郑州等市协同联动发展，积极融入郑州国家中心城市建设，努力承接郑州产业要素转移和外溢。对接国家超级计算郑州中心、国家技术转移郑州中心等信息技术平台，助力商水大数据和信息产业发展联动。参与郑州航空港经济综合试验区、中国河南自由贸易试验区、中国（郑州）跨境电商综合试验区、中原港城等产业分工，提升外向型经济发展水平。全力争取郑洛新国家自主创新示范区辐射商水，促进创新型人才引进，创新型经济发展。推动区域协调发展，完善协调联动机制，设立区域协同发展投资基金，在重大基础设施互联互通、产业互补发展、文旅品牌塑造、生态环境联防共治等领域持续深化合作、共谋发展，共建中原城市群区域协同发展示范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297" w:name="_Toc77152204"/>
      <w:bookmarkStart w:id="298" w:name="_Toc1796"/>
      <w:r>
        <w:rPr>
          <w:rFonts w:hint="eastAsia" w:ascii="楷体_GB2312" w:hAnsi="楷体_GB2312" w:eastAsia="楷体_GB2312" w:cs="楷体_GB2312"/>
          <w:b/>
          <w:bCs/>
          <w:sz w:val="32"/>
          <w:szCs w:val="32"/>
        </w:rPr>
        <w:t>第二节  深化与发达地区交流互动</w:t>
      </w:r>
      <w:bookmarkEnd w:id="297"/>
      <w:bookmarkEnd w:id="29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发挥承接东部沿海地区产业转移，在纺织服装、纤具、农副产品、家俱、港口等领域开展深度合作，积极开展产业链合作和园区对接，吸引产业要素优化布局。主动嵌入北京、天津、杭州、宁波、绍兴等相关上下游产业链，助力纺织服务、大数据智慧产业园、国际综合物流港建设。深化与长三角地区的合作对接，积极豫沪、豫浙、豫苏合作，建立高层互访、多层交流、协商推进合作机制，紧抓发达地区压减、整合纺织产业园区机遇，积极承接江浙产业转移。提升纺织服装发展水平，加强与深圳、东莞等珠三角地区联系合作，推动工业设计、健康养老、电子信息等领域合作，助力商水高质量发展。</w:t>
      </w:r>
    </w:p>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299" w:name="_Toc77152205"/>
      <w:bookmarkStart w:id="300" w:name="_Toc11472"/>
      <w:r>
        <w:rPr>
          <w:rFonts w:hint="eastAsia" w:ascii="黑体" w:hAnsi="黑体" w:eastAsia="黑体" w:cs="黑体"/>
          <w:sz w:val="32"/>
          <w:szCs w:val="32"/>
        </w:rPr>
        <w:t xml:space="preserve">第十篇 </w:t>
      </w:r>
      <w:bookmarkEnd w:id="242"/>
      <w:bookmarkEnd w:id="243"/>
      <w:r>
        <w:rPr>
          <w:rFonts w:hint="eastAsia" w:ascii="黑体" w:hAnsi="黑体" w:eastAsia="黑体" w:cs="黑体"/>
          <w:sz w:val="32"/>
          <w:szCs w:val="32"/>
        </w:rPr>
        <w:t xml:space="preserve"> 推动文化繁荣兴盛</w:t>
      </w:r>
      <w:bookmarkEnd w:id="299"/>
      <w:bookmarkEnd w:id="30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定文化自信，围绕举旗帜、聚民心、育新人、兴文化、展形象的使命任务，加强社会主义精神文明建设，讲好新时代商水故事，推动优秀传统文化创造性转化、创造性发展，发展社会主义先进文化，建设文化旅游强县。</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01" w:name="_Toc77152206"/>
      <w:bookmarkStart w:id="302" w:name="_Toc24434"/>
      <w:r>
        <w:rPr>
          <w:rFonts w:hint="eastAsia" w:ascii="黑体" w:hAnsi="黑体" w:eastAsia="黑体" w:cs="黑体"/>
          <w:sz w:val="32"/>
          <w:szCs w:val="32"/>
        </w:rPr>
        <w:t>第三十七章  提高社会文明程度</w:t>
      </w:r>
      <w:bookmarkEnd w:id="301"/>
      <w:bookmarkEnd w:id="30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zh-CN"/>
        </w:rPr>
        <w:t>坚持以社会主义核心价值观为引导，深入开展习近平新时代中国特色社会主义思想学习教育，推动形成适应新时代要求的思想观念、精神面貌、文明风尚、行为规范。</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03" w:name="_Toc77152207"/>
      <w:bookmarkStart w:id="304" w:name="_Toc21489"/>
      <w:r>
        <w:rPr>
          <w:rFonts w:hint="eastAsia" w:ascii="楷体_GB2312" w:hAnsi="楷体_GB2312" w:eastAsia="楷体_GB2312" w:cs="楷体_GB2312"/>
          <w:b/>
          <w:bCs/>
          <w:sz w:val="32"/>
          <w:szCs w:val="32"/>
        </w:rPr>
        <w:t>第一节  推进理想信念教育常态化制度化</w:t>
      </w:r>
      <w:bookmarkEnd w:id="303"/>
      <w:bookmarkEnd w:id="30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深入开展习近平新时代中国特色社会主义思想学习教育，深化党员干部理论教育，改进提升面向基层的理论普及，健全用党的创新理论武装全党、教育人民工作体系。深化中国特色社会主义和中国梦宣传教育，加强党史、新中国史、改革开放史、社会主义发展史教育，加强爱国主义、集体主义、社会主义教育，加强革命文化研究阐释和宣传教育，增强坚守共同理想、实现共同梦想的信心和决心。弘扬党和人民在各个历史时期奋斗中形成的伟大精神，实施红色基因传承弘扬行动。加强和改进新时代思想政治工作，推动青少年法治宣传教育常态化、全覆盖，进一步净化青少年成长环境，强化对青少年的思想政治引领。</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05" w:name="_Toc77152208"/>
      <w:bookmarkStart w:id="306" w:name="_Toc10225"/>
      <w:r>
        <w:rPr>
          <w:rFonts w:hint="eastAsia" w:ascii="楷体_GB2312" w:hAnsi="楷体_GB2312" w:eastAsia="楷体_GB2312" w:cs="楷体_GB2312"/>
          <w:b/>
          <w:bCs/>
          <w:sz w:val="32"/>
          <w:szCs w:val="32"/>
        </w:rPr>
        <w:t>第二节  加强正确导向舆论引导能力建设</w:t>
      </w:r>
      <w:bookmarkEnd w:id="305"/>
      <w:bookmarkEnd w:id="30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和落实党管媒体原则，推进媒体深度融合，实施全媒体传播工程常态化，开展重大主题宣传，巩固壮大主流思想舆论。加强网络文明建设，发展积极健康的网络文化。讲好商水故事，发好商水声音，树好商水形象，凝聚商水力量。增强民众法治意识、道德意识、社会责任意识、生态文明意识，弘扬中华传统美德和时代新风。</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07" w:name="_Toc77152209"/>
      <w:bookmarkStart w:id="308" w:name="_Toc21351"/>
      <w:r>
        <w:rPr>
          <w:rFonts w:hint="eastAsia" w:ascii="楷体_GB2312" w:hAnsi="楷体_GB2312" w:eastAsia="楷体_GB2312" w:cs="楷体_GB2312"/>
          <w:b/>
          <w:bCs/>
          <w:sz w:val="32"/>
          <w:szCs w:val="32"/>
        </w:rPr>
        <w:t>第三节  持续提升公众文明素质素养</w:t>
      </w:r>
      <w:bookmarkEnd w:id="307"/>
      <w:bookmarkEnd w:id="30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公民道德建设工程，加强社会公德、职业道德、家庭美德、个人品德建设。实施文明创建工程，拓展新时代文明实践中心建设，实施《河南省文明行为促进条例》，持续开展文明城市、文明村镇、文明单位、文明家庭、文明校园等创建活动。全面推进新时代文明实践中心（所、站）建设，全力打造政策宣传、理论宣讲、文化服务、科技科普、文明风尚、法律服务等六大平台。健全志愿服务体系，广泛开展志愿服务关爱行动，强化奉献意识。普及科学知识，推动全民阅读。有效开展惠民演出、艺术普及等活动。培育良好家风、乡风、校风、行风，弘扬诚信文化，推进全社会诚信建设。倡导艰苦奋斗、勤俭节约，大力弘扬劳模精神、劳动精神、工匠精神，深入开展劳动创造幸福主体宣传教育，加大先进典型培树和宣传力度，全面提高国民素质和社会文明程度，培育出彩商水人。</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09" w:name="_Toc77152210"/>
      <w:bookmarkStart w:id="310" w:name="_Toc26326"/>
      <w:bookmarkStart w:id="311" w:name="_Toc27813"/>
      <w:bookmarkStart w:id="312" w:name="_Toc33630667"/>
      <w:r>
        <w:rPr>
          <w:rFonts w:hint="eastAsia" w:ascii="黑体" w:hAnsi="黑体" w:eastAsia="黑体" w:cs="黑体"/>
          <w:sz w:val="32"/>
          <w:szCs w:val="32"/>
        </w:rPr>
        <w:t>第三十八章  讲好商水故事</w:t>
      </w:r>
      <w:bookmarkEnd w:id="309"/>
      <w:bookmarkEnd w:id="31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深入挖掘名人文化、诚信文化、农耕文化，整理优秀传统文化资源，实施一批重点文化建设工程，提升区域文化品位，传播传统文化知识，充分展现商水人民自强不息、拼搏向上的精神风貌。</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13" w:name="_Toc77152211"/>
      <w:bookmarkStart w:id="314" w:name="_Toc1672"/>
      <w:r>
        <w:rPr>
          <w:rFonts w:hint="eastAsia" w:ascii="楷体_GB2312" w:hAnsi="楷体_GB2312" w:eastAsia="楷体_GB2312" w:cs="楷体_GB2312"/>
          <w:b/>
          <w:bCs/>
          <w:sz w:val="32"/>
          <w:szCs w:val="32"/>
        </w:rPr>
        <w:t>第一节  加强文化遗产保护</w:t>
      </w:r>
      <w:bookmarkEnd w:id="313"/>
      <w:bookmarkEnd w:id="31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加强楚章华台、扶苏故城、叶氏庄园、寿圣寺古塔、白塔寺柏林、千年白果树、陈胜故里、刘秀饮马台、真龙寺等文化遗产保护</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加强重点文物修缮工作，以阳城故城遗址、叶氏庄园、寿圣寺古塔为重点，推动文物核心区系统研究和整体保护修复，打造商水文化遗产保护开发廊道。进一步对全县非遗项目进行挖掘整理，加强非物质文化遗产整体性保护、生产性保护和活化传承，争取不少于两项非遗项目纳入省级非遗名录，不少于15项非遗项目纳入市级非遗名录。</w:t>
      </w:r>
      <w:r>
        <w:rPr>
          <w:rFonts w:hint="eastAsia" w:ascii="仿宋_GB2312" w:hAnsi="仿宋_GB2312" w:eastAsia="仿宋_GB2312" w:cs="仿宋_GB2312"/>
          <w:sz w:val="32"/>
          <w:szCs w:val="32"/>
          <w:lang w:eastAsia="zh-CN"/>
        </w:rPr>
        <w:t>统筹</w:t>
      </w:r>
      <w:r>
        <w:rPr>
          <w:rFonts w:hint="eastAsia" w:ascii="仿宋_GB2312" w:hAnsi="仿宋_GB2312" w:eastAsia="仿宋_GB2312" w:cs="仿宋_GB2312"/>
          <w:sz w:val="32"/>
          <w:szCs w:val="32"/>
        </w:rPr>
        <w:t>博物馆</w:t>
      </w:r>
      <w:r>
        <w:rPr>
          <w:rFonts w:hint="eastAsia" w:ascii="仿宋_GB2312" w:hAnsi="仿宋_GB2312" w:eastAsia="仿宋_GB2312" w:cs="仿宋_GB2312"/>
          <w:sz w:val="32"/>
          <w:szCs w:val="32"/>
          <w:lang w:eastAsia="zh-CN"/>
        </w:rPr>
        <w:t>规划建设</w:t>
      </w:r>
      <w:r>
        <w:rPr>
          <w:rFonts w:hint="eastAsia" w:ascii="仿宋_GB2312" w:hAnsi="仿宋_GB2312" w:eastAsia="仿宋_GB2312" w:cs="仿宋_GB2312"/>
          <w:sz w:val="32"/>
          <w:szCs w:val="32"/>
        </w:rPr>
        <w:t>，提高文化遗产保护利用水平。</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15" w:name="_Toc77152212"/>
      <w:bookmarkStart w:id="316" w:name="_Toc1827"/>
      <w:r>
        <w:rPr>
          <w:rFonts w:hint="eastAsia" w:ascii="楷体_GB2312" w:hAnsi="楷体_GB2312" w:eastAsia="楷体_GB2312" w:cs="楷体_GB2312"/>
          <w:b/>
          <w:bCs/>
          <w:sz w:val="32"/>
          <w:szCs w:val="32"/>
        </w:rPr>
        <w:t>第二节  弘扬商水红色文化影响</w:t>
      </w:r>
      <w:bookmarkEnd w:id="315"/>
      <w:bookmarkEnd w:id="31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商水红色文化宣传弘扬计划，深入挖掘为民请命的革命文化、律法文化、袁袁氏故里的姓氏文化、漕运文化、叶氏庄园文化和诚信文化、见义勇为文化等独具商水特色的红色历史文化资源，编写好商水红色历史，进一步增强全县红色历史、红色文化的生命力。开拓创新，充分利用手机App、报纸、电视等媒体，加大宣传推广力度，营造浓厚的红色文化氛围，讲好“红色故事”，大力提升商水红色文化魅力。坚持开展红色精神价值提炼，加强对广大党员、干部、群众和青少年的红色教育，传承“红色基因”，切实增强红色文化的延续力，打造好商水文化品牌，把文化自信转化为建设美丽商水的软实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17" w:name="_Toc77152213"/>
      <w:bookmarkStart w:id="318" w:name="_Toc23854"/>
      <w:r>
        <w:rPr>
          <w:rFonts w:hint="eastAsia" w:ascii="黑体" w:hAnsi="黑体" w:eastAsia="黑体" w:cs="黑体"/>
          <w:sz w:val="32"/>
          <w:szCs w:val="32"/>
        </w:rPr>
        <w:t>第三十九章  大力发展文化事业和文化产业</w:t>
      </w:r>
      <w:bookmarkEnd w:id="317"/>
      <w:bookmarkEnd w:id="31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以满足人民文化需求和提升商水文化影响力为核心，加快构建现代公共文化服务体系和现代文化产业体系，叫响商水红色文化品牌，为全县经济社会高质量发展提供精神动力和产业支撑。</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19" w:name="_Toc77152214"/>
      <w:bookmarkStart w:id="320" w:name="_Toc11942"/>
      <w:r>
        <w:rPr>
          <w:rFonts w:hint="eastAsia" w:ascii="楷体_GB2312" w:hAnsi="楷体_GB2312" w:eastAsia="楷体_GB2312" w:cs="楷体_GB2312"/>
          <w:b/>
          <w:bCs/>
          <w:sz w:val="32"/>
          <w:szCs w:val="32"/>
        </w:rPr>
        <w:t>第一节  提升公共文化服务质量</w:t>
      </w:r>
      <w:bookmarkEnd w:id="311"/>
      <w:bookmarkEnd w:id="319"/>
      <w:bookmarkEnd w:id="32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普惠共享为方向，以现代信息技术为支撑，以群众性文化活动为基础，加快建设“三个中心”（融媒体中心、新时代文明实践中心、志愿服务站），积极开展“四下乡”“快乐星期天”等活动，普及科学知识，构建网络化、数字化、多功能的现代公共文化服务体系，更好地发挥先进文化传播、新媒体应用、信息技术推广、丰富文化生活等复合型作用。加强基层文化服务能力建设，落实县图书馆、文化馆总分馆制，支持乡镇建设具有特色的博物馆、展览馆。进一步提升乡村公共文化设施的功能档次，把“文化大院”办成“文创大院”、信息交流平台和多媒体应用平台，使之成为传播现代文明的重要阵地。加强名人故居、古街古镇等历史文化遗迹和非物质文化遗产保护。努力办好观众喜闻乐见的特色频道。实施文化信息资源共享工程、数字图书馆推广计划等，加快公共数字文化建设，推动传统媒体和新兴媒体深度融合，发展积极向上的网络文化，凝聚正能量，唱响主旋律。深入推进文化惠民工程整合创新，组织实施好千场公益演出送基层、广场舞培训、公益电影放映、图书推广等文化惠民活动，支持发展民间文化社团，繁荣乡村文化生活。大兴全民阅读之风，打造“书香商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21" w:name="_Toc29955"/>
      <w:bookmarkStart w:id="322" w:name="_Toc77152215"/>
      <w:bookmarkStart w:id="323" w:name="_Toc28132"/>
      <w:r>
        <w:rPr>
          <w:rFonts w:hint="eastAsia" w:ascii="楷体_GB2312" w:hAnsi="楷体_GB2312" w:eastAsia="楷体_GB2312" w:cs="楷体_GB2312"/>
          <w:b/>
          <w:bCs/>
          <w:sz w:val="32"/>
          <w:szCs w:val="32"/>
        </w:rPr>
        <w:t>第二节  大力发展文化产业</w:t>
      </w:r>
      <w:bookmarkEnd w:id="321"/>
      <w:bookmarkEnd w:id="322"/>
      <w:bookmarkEnd w:id="32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突出诚信文化、农耕文化特色，着力培育引进领航型龙头企业，有效开发红色文化、民俗文化、庄园文化、名人文化等文化资源，促进文化+产业融合发展。打造具有一定影响力的民间工艺品牌，培育形成文化+产业集群。举办文化活动。积极引入国内知名品牌赛事和活动，持续提升县内节庆文娱活动、全民健身活动组织水平。支持乡镇、街道举办特色节庆活动，拓展客源市场，树立旅游品牌，提升商水美誉度。培育“夜间经济”。改造提升重要街区周边环境，丰富夜间产品供给，繁荣夜间经济。围绕商业购物、特色餐饮、文旅休闲、运动健身、网络教育等五大消费领域，培育夜游、夜健、夜学、夜演、夜购、夜娱“六夜”特色业态，做大餐饮市场夜间消费规模。支持有条件的乡村搭建平台。整合资源，提高传统工艺产品设计、制作水平，形成具有一定影响力的民间工艺品牌，推进民间文化艺术、手工工艺、特色小吃等产业化、品牌化开发。加快文化产业数字化。加快发展全息互动投影、无人机表演、夜间光影秀、网络视听、移动多媒体、动漫游戏等新兴文化产业，大力发展沉浸式、终端型、体验型、创意型、社交电商、网络直播、短视频等线上线下结合的文化消费新业态，培育形成文化+产业集群。</w:t>
      </w:r>
    </w:p>
    <w:bookmarkEnd w:id="312"/>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324" w:name="_Toc1504"/>
      <w:bookmarkStart w:id="325" w:name="_Toc77152216"/>
      <w:bookmarkStart w:id="326" w:name="_Toc18923"/>
      <w:bookmarkStart w:id="327" w:name="_Toc33630663"/>
      <w:bookmarkStart w:id="328" w:name="_Toc33630661"/>
      <w:r>
        <w:rPr>
          <w:rFonts w:hint="eastAsia" w:ascii="黑体" w:hAnsi="黑体" w:eastAsia="黑体" w:cs="黑体"/>
          <w:sz w:val="32"/>
          <w:szCs w:val="32"/>
        </w:rPr>
        <w:t xml:space="preserve">第十一篇  </w:t>
      </w:r>
      <w:bookmarkEnd w:id="324"/>
      <w:r>
        <w:rPr>
          <w:rFonts w:hint="eastAsia" w:ascii="黑体" w:hAnsi="黑体" w:eastAsia="黑体" w:cs="黑体"/>
          <w:sz w:val="32"/>
          <w:szCs w:val="32"/>
        </w:rPr>
        <w:t>持续增进民生福祉</w:t>
      </w:r>
      <w:bookmarkEnd w:id="325"/>
      <w:bookmarkEnd w:id="32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坚持把实现好、维护好、发展好最广大群众根本利益作为发展的出发点和落脚点，健全基本公共服务体系，完善共建共治共享的社会治理制度，</w:t>
      </w:r>
      <w:r>
        <w:rPr>
          <w:rFonts w:hint="eastAsia" w:ascii="仿宋_GB2312" w:hAnsi="仿宋_GB2312" w:eastAsia="仿宋_GB2312" w:cs="仿宋_GB2312"/>
          <w:sz w:val="32"/>
          <w:szCs w:val="32"/>
          <w:lang w:val="zh-CN"/>
        </w:rPr>
        <w:t>加强普惠性、基础性、兜底性民生建设，</w:t>
      </w:r>
      <w:r>
        <w:rPr>
          <w:rFonts w:hint="eastAsia" w:ascii="仿宋_GB2312" w:hAnsi="仿宋_GB2312" w:eastAsia="仿宋_GB2312" w:cs="仿宋_GB2312"/>
          <w:sz w:val="32"/>
          <w:szCs w:val="32"/>
        </w:rPr>
        <w:t>扎实推动共同富裕，不断增强人民群众获得感幸福感安全感，促进人的全面发展和社会全面进步。</w:t>
      </w:r>
    </w:p>
    <w:bookmarkEnd w:id="327"/>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29" w:name="_Toc77152217"/>
      <w:bookmarkStart w:id="330" w:name="_Toc2694"/>
      <w:bookmarkStart w:id="331" w:name="_Toc29445"/>
      <w:bookmarkStart w:id="332" w:name="_Toc33630664"/>
      <w:r>
        <w:rPr>
          <w:rFonts w:hint="eastAsia" w:ascii="黑体" w:hAnsi="黑体" w:eastAsia="黑体" w:cs="黑体"/>
          <w:sz w:val="32"/>
          <w:szCs w:val="32"/>
        </w:rPr>
        <w:t>第四十章  加快推进教育现代化</w:t>
      </w:r>
      <w:bookmarkEnd w:id="329"/>
      <w:bookmarkEnd w:id="33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全面贯彻党的教育方针，坚持立德树人，更加注重培养爱国情怀、社会责任感 、创新精神、实践能力，促进学生德智体美劳全面发媕娿，办好人民满意的教育。</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33" w:name="_Toc77152218"/>
      <w:bookmarkStart w:id="334" w:name="_Toc9425"/>
      <w:r>
        <w:rPr>
          <w:rFonts w:hint="eastAsia" w:ascii="楷体_GB2312" w:hAnsi="楷体_GB2312" w:eastAsia="楷体_GB2312" w:cs="楷体_GB2312"/>
          <w:b/>
          <w:bCs/>
          <w:sz w:val="32"/>
          <w:szCs w:val="32"/>
        </w:rPr>
        <w:t>第一节  加快基本公共教育均衡发展</w:t>
      </w:r>
      <w:bookmarkEnd w:id="333"/>
      <w:bookmarkEnd w:id="334"/>
    </w:p>
    <w:bookmarkEnd w:id="331"/>
    <w:bookmarkEnd w:id="332"/>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统筹布局中心城区和农村基础教育资源，缩小城乡、校际差距，实施学前教育普惠扩容计划，扩大优质普惠学前教育资源供给。健全经费投入和人员保障机制，持续提升公办</w:t>
      </w:r>
      <w:r>
        <w:rPr>
          <w:rFonts w:hint="eastAsia" w:ascii="仿宋_GB2312" w:hAnsi="仿宋_GB2312" w:eastAsia="仿宋_GB2312" w:cs="仿宋_GB2312"/>
          <w:sz w:val="32"/>
          <w:szCs w:val="32"/>
          <w:lang w:eastAsia="zh-CN"/>
        </w:rPr>
        <w:t>幼儿</w:t>
      </w:r>
      <w:r>
        <w:rPr>
          <w:rFonts w:hint="eastAsia" w:ascii="仿宋_GB2312" w:hAnsi="仿宋_GB2312" w:eastAsia="仿宋_GB2312" w:cs="仿宋_GB2312"/>
          <w:sz w:val="32"/>
          <w:szCs w:val="32"/>
        </w:rPr>
        <w:t>园幼儿占比和普惠性幼儿园覆盖率，基本普及学前三年教育。实施城区义务教育学校提质扩容工程，加强乡村小规模学校和乡镇寄宿制学校建设，加快消除“乡村弱”“ 城镇挤”的突出问题。推动高中阶段教育普及、特色发展，改善普通高中办学条件，改革育人方式，全面提高教育质量，打造省级知名高中，高中阶段教育毛入学率不低于95%，城乡新增劳动力普遍接受高中阶段教育。促进普通高中与中等职业教育协调发展，推行产教融合、校企合作的应用型人才和技能人才培养模式，加快建成高水平职教中心，努力创办高等职业技术学院或高职分校。加强公共实训基地、特色专业学科建设，扩大适应新经济发展的人才培养能力。重视发展特殊教育，优先让残疾儿童少年在普通学校接受教育，对中重度和多重残疾学生通过就读特教学校、送教上门、个性化帮扶等方式实施教育，形成学校衔接、普职融通、医教结合的特殊教育体系。大力发展继续教育，推动各类教育资源开放共享，构建全民终身教育培训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35" w:name="_Toc77152219"/>
      <w:bookmarkStart w:id="336" w:name="_Toc29449"/>
      <w:r>
        <w:rPr>
          <w:rFonts w:hint="eastAsia" w:ascii="楷体_GB2312" w:hAnsi="楷体_GB2312" w:eastAsia="楷体_GB2312" w:cs="楷体_GB2312"/>
          <w:b/>
          <w:bCs/>
          <w:sz w:val="32"/>
          <w:szCs w:val="32"/>
        </w:rPr>
        <w:t>第二节  激发教育改革发展活力</w:t>
      </w:r>
      <w:bookmarkEnd w:id="335"/>
      <w:bookmarkEnd w:id="33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新时代教育评价改革总体方案，健全督政、督学、评估监测三“位一体”的体制机制，完善教育质量评估监测机制。加大教育经费投入改革，完善经费使用管理制度，提高经费使用效益，落实和扩大学校办学自主权，完善学校内部治理制度，优选配强学校校长。深化考试招生综合改革，完善初高中学生学业水平考试综合素质评价和招生录取机制，完善教师培养培训体系，加强师德师风建设，提升教师教书育人能力素质，加大教职工编制统筹配置和跨区域调整力度，完善教师待遇保障机制，营造浓厚尊师重教氛围。加强和改进体育、美育教育，大力推进劳动教育和职业启蒙教育，创新发展素质教育，强化学生心理健康教育。健全学校家庭社会协同育人机制。支持和规范民办教育发展，稳步推进民办学校分类管理改革，规范校外培训机构</w:t>
      </w:r>
      <w:r>
        <w:rPr>
          <w:rFonts w:hint="eastAsia" w:ascii="仿宋_GB2312" w:hAnsi="仿宋_GB2312" w:eastAsia="仿宋_GB2312" w:cs="仿宋_GB2312"/>
          <w:sz w:val="32"/>
          <w:szCs w:val="32"/>
          <w:lang w:eastAsia="zh-CN"/>
        </w:rPr>
        <w:t>管理</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37" w:name="_Toc77152220"/>
      <w:bookmarkStart w:id="338" w:name="_Toc23754"/>
      <w:r>
        <w:rPr>
          <w:rFonts w:hint="eastAsia" w:ascii="楷体_GB2312" w:hAnsi="楷体_GB2312" w:eastAsia="楷体_GB2312" w:cs="楷体_GB2312"/>
          <w:b/>
          <w:bCs/>
          <w:sz w:val="32"/>
          <w:szCs w:val="32"/>
        </w:rPr>
        <w:t>第三节  建设学习型社会</w:t>
      </w:r>
      <w:bookmarkEnd w:id="337"/>
      <w:bookmarkEnd w:id="33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终身教育发展战略，逐步搭建集中各级各类学习资源的全民终身学习平台，实现不同类型学习成果的互认和衔接。建设开放大学信息化平台，提升资源共建共享水平和社会参与度。全面加强城乡社区教育、老年教育、青少年教育，推进建设一所示范性社区学校。促进青年终身学习，全面提升青年教育发展水平。实施继续教育推进工程，健全职责明确、统筹协调、规范有序的继续教育管理体制和运行机制，办好网络继续教育。提升“互联网+教育”发展水平，建设一批面向社会、共享开放的优质网络课程。推进全民阅读，支持实体书店发展，营造浓厚学习氛围。</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39" w:name="_Toc11499"/>
      <w:bookmarkStart w:id="340" w:name="_Toc77152221"/>
      <w:bookmarkStart w:id="341" w:name="_Toc24377"/>
      <w:r>
        <w:rPr>
          <w:rFonts w:hint="eastAsia" w:ascii="黑体" w:hAnsi="黑体" w:eastAsia="黑体" w:cs="黑体"/>
          <w:sz w:val="32"/>
          <w:szCs w:val="32"/>
        </w:rPr>
        <w:t xml:space="preserve">第四十一章  </w:t>
      </w:r>
      <w:bookmarkEnd w:id="339"/>
      <w:r>
        <w:rPr>
          <w:rFonts w:hint="eastAsia" w:ascii="黑体" w:hAnsi="黑体" w:eastAsia="黑体" w:cs="黑体"/>
          <w:sz w:val="32"/>
          <w:szCs w:val="32"/>
        </w:rPr>
        <w:t>千方百计稳定和扩大就业</w:t>
      </w:r>
      <w:bookmarkEnd w:id="340"/>
      <w:bookmarkEnd w:id="34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强化落实就业优先政策，健全就业促进机制，鼓励创业带</w:t>
      </w:r>
      <w:r>
        <w:rPr>
          <w:rFonts w:hint="eastAsia" w:ascii="仿宋_GB2312" w:hAnsi="仿宋_GB2312" w:eastAsia="仿宋_GB2312" w:cs="仿宋_GB2312"/>
          <w:spacing w:val="6"/>
          <w:sz w:val="32"/>
          <w:szCs w:val="32"/>
        </w:rPr>
        <w:t>动就业，着力缓解结构性就业矛盾，实现更加充分更高质量就业。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42" w:name="_Toc77152222"/>
      <w:bookmarkStart w:id="343" w:name="_Toc8712"/>
      <w:r>
        <w:rPr>
          <w:rFonts w:hint="eastAsia" w:ascii="楷体_GB2312" w:hAnsi="楷体_GB2312" w:eastAsia="楷体_GB2312" w:cs="楷体_GB2312"/>
          <w:b/>
          <w:bCs/>
          <w:sz w:val="32"/>
          <w:szCs w:val="32"/>
        </w:rPr>
        <w:t>第一节  多渠道增加就业岗位</w:t>
      </w:r>
      <w:bookmarkEnd w:id="342"/>
      <w:bookmarkEnd w:id="34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以产业发展促进就业，把就业作为经济社会发展的优先目标，纳入宏观调控体系，依托产业集聚区、商务中心区以及专业园区，开展重大工程项目、重要产业规划带动就业评估工作。注重发展劳动密集型产业和现代服务业，开发更多的就业岗位。大力发展平台经济、共享经济、新个体经济等业态，支持多渠道灵活就业。建立健全援企稳岗长效机制，优先扶持就业带动能力强的优质企业和就业容量大的中小微企业，努力稳住存量就业岗位，引导企事业单位扩大就业岗位，积极开展公益性就业岗位，加大公共就业创业服务设施建设力度，支持各类职业教育和技能培训机构与大型企业联合建设公共实训基地，推广订单式、定向式职业培训模式，构建功能齐全的就业创业公共服务平台，完善创业融资、培训、孵化、辅导“四位一体”服务体系。高标准建设一批返乡创业园、创业基地，多渠道鼓励科技人员、高校毕业生、农民、退役军人等群体创业，挖掘种养业和乡村产业潜力，带动更多农村劳动力就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44" w:name="_Toc77152223"/>
      <w:bookmarkStart w:id="345" w:name="_Toc8113"/>
      <w:r>
        <w:rPr>
          <w:rFonts w:hint="eastAsia" w:ascii="楷体_GB2312" w:hAnsi="楷体_GB2312" w:eastAsia="楷体_GB2312" w:cs="楷体_GB2312"/>
          <w:b/>
          <w:bCs/>
          <w:sz w:val="32"/>
          <w:szCs w:val="32"/>
        </w:rPr>
        <w:t xml:space="preserve">第二节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加大重点群体就业扶持</w:t>
      </w:r>
      <w:bookmarkEnd w:id="344"/>
      <w:bookmarkEnd w:id="34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实施高校毕业生就业创业促进计划和基层成长计划，加强不断线就业服务，鼓励到城乡基层和民营企业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小微企业就业创业，鼓励应征入伍建功立业。促进农村劳动力转移就业和农民工返乡创业，建立健全区域劳务协作机制，加强新生代农民工职业技能培训和就业帮扶，推进农村富裕劳动力有序进城就业，推进返乡创业试点县创建工作，支持更多返乡留乡农民工就地就近就业创业。加强退役军人安置保障，提升退役军人就业创业服务能力，建立完善优秀退役军人人才库，保障有就业需求的退役军人充分就业。加大对残疾人、零就业家庭人员、最低生活保障家庭人员、大龄低技能劳动者等就业困难人员的就业援助力度，规范公益性岗位开发和管理，对就业困难人员实行实名动态管理和分类帮扶，确保零就业家庭动态清零，加强托低安置就业。稳妥做好去产能和淘汰落后产能职工安置。</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46" w:name="_Toc77152224"/>
      <w:bookmarkStart w:id="347" w:name="_Toc10024"/>
      <w:r>
        <w:rPr>
          <w:rFonts w:hint="eastAsia" w:ascii="楷体_GB2312" w:hAnsi="楷体_GB2312" w:eastAsia="楷体_GB2312" w:cs="楷体_GB2312"/>
          <w:b/>
          <w:bCs/>
          <w:sz w:val="32"/>
          <w:szCs w:val="32"/>
        </w:rPr>
        <w:t>第三节  优化全方位公共就业服务</w:t>
      </w:r>
      <w:bookmarkEnd w:id="346"/>
      <w:bookmarkEnd w:id="34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就业服务体系，健全公共就业创业服务机构，加强乡镇（街道）、村（社区）基层公共就业创业服务平台建设，推进公共就业服务全面覆盖城乡常住人口和各类用人单位。建立健全和谐劳动关系，完善人力资源市场机制，完善使用“互联网+就业创业”信息系统，实现就业业务全覆盖、就业经办全天候、就业服务零距离。深入推进全民技能振兴工程，逐步构建城乡劳动者终身职业培训体系，强化职业培训基础能力建设，积极开展订单式、套餐式培训，突出特色打造技能培训品牌，扩大技能人才培养培训规模，提升劳动者技能水平和就业能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48" w:name="_Toc77152225"/>
      <w:bookmarkStart w:id="349" w:name="_Toc22366"/>
      <w:r>
        <w:rPr>
          <w:rFonts w:hint="eastAsia" w:ascii="楷体_GB2312" w:hAnsi="楷体_GB2312" w:eastAsia="楷体_GB2312" w:cs="楷体_GB2312"/>
          <w:b/>
          <w:bCs/>
          <w:sz w:val="32"/>
          <w:szCs w:val="32"/>
        </w:rPr>
        <w:t>第四节  加强失业风险防范</w:t>
      </w:r>
      <w:bookmarkEnd w:id="348"/>
      <w:bookmarkEnd w:id="34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就业需求调查和失业监测预警机制，强化就业常规统计、劳动力市场监测、失业动态监测，密切跟踪“机器换人”等就业影响，加强规模性裁员风险防范。健全劳动关系协调机制，保障劳动者权益待遇和权益，鼓励企业采取多种方式稳定劳动关系，畅通劳动争议、纠纷调解、仲裁受理渠道。建立调查失业率按月统计发布制度，开展就业岗位调查和线上失业登记，推进愿登尽登、应登尽登。加强各类登记失业人员再就业援助服务和职业技能培训，促进失业人员实现稳定再就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50" w:name="_Toc5051"/>
      <w:bookmarkStart w:id="351" w:name="_Toc77152226"/>
      <w:bookmarkStart w:id="352" w:name="_Toc23320"/>
      <w:r>
        <w:rPr>
          <w:rFonts w:hint="eastAsia" w:ascii="黑体" w:hAnsi="黑体" w:eastAsia="黑体" w:cs="黑体"/>
          <w:sz w:val="32"/>
          <w:szCs w:val="32"/>
        </w:rPr>
        <w:t>第四十二章  着力增加城乡居民收入</w:t>
      </w:r>
      <w:bookmarkEnd w:id="350"/>
      <w:bookmarkEnd w:id="351"/>
      <w:bookmarkEnd w:id="35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把增加居民收入、实现共同富裕作为根本出发点和落脚点，不断提高居民收入水平和生活质量，夯实扩大内需基础。鼓励通过创业经营、租赁服务、投资理财等途径增加收入，加大私人财产权益、自主知识产权、股权分红权益保护力度，提高中等收入群体比重。切实保护农民土地承包经营权益，鼓励农民通过规模经营发展特色高效种植、养殖业增加经营性收入。支持农民加入各种形式的合作社，分享农业产业化经营中的收益。扩大承包经营土地在流转入股、抵押贷款、抵押担保等方面的权能，探索农民宅基地资产化利用途径，增加农民财产性收入。持续推进大众创业、万众创新，拓宽城乡居民增收渠道，提高中等收入群体比重，健全最低工资增长机制，缩小收入差距，使人民群众更多地分享改革发展成果。</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53" w:name="_Toc1630"/>
      <w:bookmarkStart w:id="354" w:name="_Toc33630665"/>
      <w:bookmarkStart w:id="355" w:name="_Toc77152227"/>
      <w:bookmarkStart w:id="356" w:name="_Toc6729"/>
      <w:r>
        <w:rPr>
          <w:rFonts w:hint="eastAsia" w:ascii="黑体" w:hAnsi="黑体" w:eastAsia="黑体" w:cs="黑体"/>
          <w:sz w:val="32"/>
          <w:szCs w:val="32"/>
        </w:rPr>
        <w:t>第四十三章  提升医疗卫生体育现代化水平</w:t>
      </w:r>
      <w:bookmarkEnd w:id="353"/>
      <w:bookmarkEnd w:id="354"/>
      <w:bookmarkEnd w:id="355"/>
      <w:bookmarkEnd w:id="35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把保障人民健康放在优先发展的战略位置，牢固树立大卫生、大健康理念，深入实施“健康商水”行动，完善公共卫生防控体系、全面提升医疗服务能力、促进中医药传承创新发展、深化医药卫生体制改革，加快实现人人享有全方位全周期健康服务。</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57" w:name="_Toc77152228"/>
      <w:bookmarkStart w:id="358" w:name="_Toc10057"/>
      <w:r>
        <w:rPr>
          <w:rFonts w:hint="eastAsia" w:ascii="楷体_GB2312" w:hAnsi="楷体_GB2312" w:eastAsia="楷体_GB2312" w:cs="楷体_GB2312"/>
          <w:b/>
          <w:bCs/>
          <w:sz w:val="32"/>
          <w:szCs w:val="32"/>
        </w:rPr>
        <w:t>第一节  完善公共卫生防控体系</w:t>
      </w:r>
      <w:bookmarkEnd w:id="357"/>
      <w:bookmarkEnd w:id="35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全方位全周期保障人民生命健康为根本宗旨，建立稳定的公共卫生事业投入机制，加强疾控机构标准化建设，织牢公共卫生防护网。完善传染病疫情和突发公共卫生事件监测系统，加强实验室监测网络和能力建设，建立健全多渠道监测预警和风险评估机制。落实医疗机构公共卫生责任，创新医防协同机制。全面提升公立医院传染病救治能力，加强重大疫情应急物资储备、技术储备和效能储备，推进公共设施应对重大疫情防控“平战”两用改造，完善突发公共卫生事件应对预案和应急指挥体系,优化联防联控、群防群控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59" w:name="_Toc77152229"/>
      <w:bookmarkStart w:id="360" w:name="_Toc25469"/>
      <w:r>
        <w:rPr>
          <w:rFonts w:hint="eastAsia" w:ascii="楷体_GB2312" w:hAnsi="楷体_GB2312" w:eastAsia="楷体_GB2312" w:cs="楷体_GB2312"/>
          <w:b/>
          <w:bCs/>
          <w:sz w:val="32"/>
          <w:szCs w:val="32"/>
        </w:rPr>
        <w:t>第二节  加强公共卫生服务体系建设</w:t>
      </w:r>
      <w:bookmarkEnd w:id="359"/>
      <w:bookmarkEnd w:id="36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重大疾病、传染病防治和基本公共卫生项目建设，着力提升卫生医疗技术装备水平，提高突发公共卫生事件处置能力，建成30分钟农村（社区）医疗服务圈。抓紧完成新人民医院、新中医院、传染病医院建设，加快心脑血管病、肿瘤、儿科、产科、应急救治、精神疾病、慢性病综合防控、中医等薄弱环节能力建设。完善医疗服务体系，优化医疗机构布局，推动功能整合和服务模式创新，重点构建以县</w:t>
      </w:r>
      <w:r>
        <w:rPr>
          <w:rFonts w:hint="eastAsia" w:ascii="仿宋_GB2312" w:hAnsi="仿宋_GB2312" w:eastAsia="仿宋_GB2312" w:cs="仿宋_GB2312"/>
          <w:sz w:val="32"/>
          <w:szCs w:val="32"/>
          <w:lang w:eastAsia="zh-CN"/>
        </w:rPr>
        <w:t>人民</w:t>
      </w:r>
      <w:r>
        <w:rPr>
          <w:rFonts w:hint="eastAsia" w:ascii="仿宋_GB2312" w:hAnsi="仿宋_GB2312" w:eastAsia="仿宋_GB2312" w:cs="仿宋_GB2312"/>
          <w:sz w:val="32"/>
          <w:szCs w:val="32"/>
        </w:rPr>
        <w:t>医院</w:t>
      </w:r>
      <w:r>
        <w:rPr>
          <w:rFonts w:hint="eastAsia" w:ascii="仿宋_GB2312" w:hAnsi="仿宋_GB2312" w:eastAsia="仿宋_GB2312" w:cs="仿宋_GB2312"/>
          <w:sz w:val="32"/>
          <w:szCs w:val="32"/>
          <w:lang w:eastAsia="zh-CN"/>
        </w:rPr>
        <w:t>和县中医院</w:t>
      </w:r>
      <w:r>
        <w:rPr>
          <w:rFonts w:hint="eastAsia" w:ascii="仿宋_GB2312" w:hAnsi="仿宋_GB2312" w:eastAsia="仿宋_GB2312" w:cs="仿宋_GB2312"/>
          <w:sz w:val="32"/>
          <w:szCs w:val="32"/>
        </w:rPr>
        <w:t>为龙头、以乡镇（街道）卫生院为枢纽、以村（社区）卫生室为基础的紧密型医</w:t>
      </w:r>
      <w:r>
        <w:rPr>
          <w:rFonts w:hint="eastAsia" w:ascii="仿宋_GB2312" w:hAnsi="仿宋_GB2312" w:eastAsia="仿宋_GB2312" w:cs="仿宋_GB2312"/>
          <w:sz w:val="32"/>
          <w:szCs w:val="32"/>
          <w:lang w:eastAsia="zh-CN"/>
        </w:rPr>
        <w:t>共</w:t>
      </w:r>
      <w:r>
        <w:rPr>
          <w:rFonts w:hint="eastAsia" w:ascii="仿宋_GB2312" w:hAnsi="仿宋_GB2312" w:eastAsia="仿宋_GB2312" w:cs="仿宋_GB2312"/>
          <w:sz w:val="32"/>
          <w:szCs w:val="32"/>
        </w:rPr>
        <w:t>体，健全乡镇卫生院与医共体牵头医院双向</w:t>
      </w:r>
      <w:r>
        <w:rPr>
          <w:rFonts w:hint="eastAsia" w:ascii="仿宋_GB2312" w:hAnsi="仿宋_GB2312" w:eastAsia="仿宋_GB2312" w:cs="仿宋_GB2312"/>
          <w:sz w:val="32"/>
          <w:szCs w:val="32"/>
          <w:lang w:eastAsia="zh-CN"/>
        </w:rPr>
        <w:t>转诊</w:t>
      </w:r>
      <w:r>
        <w:rPr>
          <w:rFonts w:hint="eastAsia" w:ascii="仿宋_GB2312" w:hAnsi="仿宋_GB2312" w:eastAsia="仿宋_GB2312" w:cs="仿宋_GB2312"/>
          <w:sz w:val="32"/>
          <w:szCs w:val="32"/>
        </w:rPr>
        <w:t>机制，完善医共体建设长效运行机制。加快构建形成基层首诊、双向转诊、急慢分治、上下联动的分级诊疗机制。做实做优家庭医生签约服务，实行团队化服务网络化管理和家庭医生负责制，提升慢性病综合防控水平，实现防病、治病深度融合。全面实施基层卫生人才工程，为县、乡两级医疗机构培养一批下得去、用得好、留得住的优秀医疗卫生人才队伍，着力提高全科医生能力水平。加快推进公共卫生服务数字化，实现居民健康电子档案城乡全覆盖，形成覆盖县、乡、村三级医疗卫生系统信息数据互联互通、资源共享、业务协同、统一高效的区域卫生健康信息化管理模式。以电子健康卡“就医一卡通”为基础，融合医疗、预防、保健、健康档案等系统，实现群众健康“一卡通”。完成中医院中医药科室标准化建设，推进乡镇卫生院和社区卫生服务中心中医馆设置全覆盖。普及中医药常识，加强中医治未病科、老年病科和康复科建设，规范中医养生保健服务机构管理。深化医药卫生体制改革，加强公立医院建设和管理考核，优化和规范用药结构，全面配备优先使用基本药物。推进药品和耗材集中采购和使用改革，健全短缺物品供应保障机制。鼓励社会力量举办非盈利</w:t>
      </w:r>
      <w:r>
        <w:rPr>
          <w:rFonts w:hint="eastAsia" w:ascii="仿宋_GB2312" w:hAnsi="仿宋_GB2312" w:eastAsia="仿宋_GB2312" w:cs="仿宋_GB2312"/>
          <w:sz w:val="32"/>
          <w:szCs w:val="32"/>
          <w:lang w:eastAsia="zh-CN"/>
        </w:rPr>
        <w:t>性</w:t>
      </w:r>
      <w:r>
        <w:rPr>
          <w:rFonts w:hint="eastAsia" w:ascii="仿宋_GB2312" w:hAnsi="仿宋_GB2312" w:eastAsia="仿宋_GB2312" w:cs="仿宋_GB2312"/>
          <w:sz w:val="32"/>
          <w:szCs w:val="32"/>
        </w:rPr>
        <w:t>医疗机构。</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61" w:name="_Toc77152230"/>
      <w:bookmarkStart w:id="362" w:name="_Toc31863"/>
      <w:r>
        <w:rPr>
          <w:rFonts w:hint="eastAsia" w:ascii="楷体_GB2312" w:hAnsi="楷体_GB2312" w:eastAsia="楷体_GB2312" w:cs="楷体_GB2312"/>
          <w:b/>
          <w:bCs/>
          <w:sz w:val="32"/>
          <w:szCs w:val="32"/>
        </w:rPr>
        <w:t>第三节  开展全民卫生健康行动</w:t>
      </w:r>
      <w:bookmarkEnd w:id="361"/>
      <w:bookmarkEnd w:id="36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深入开展爱国卫生运动，加强卫生健康知识普及，推进社区、单位、家庭等健康细胞工程，促进全民养成文明健康生活方式，推进卫生城镇创建和城乡环境卫生整洁行动。实施国民营养计划，推进“三减三健”和控烟行动。开展中小学健康促进行动，强健青少年体魄。提升健康教育、慢病管理和残疾康复服务质量，加快普及心理健康教育。完善全民健身公共服务体系，推进城区“三场两馆”和10分钟健身圈全覆盖。积极发展体育事业，加强群众健身活动场地和设施建设，推行公共体育设施免费或低收费向社会开放。实施青少年体育活动促进计划，培育青少年体育爱好和运动技能，推广普及足球、篮球、排球等运动。鼓励社会力量发展体育产业，构建全社会共同参与的运动促进健康新模式，提高群众健康素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63" w:name="_Toc77152231"/>
      <w:bookmarkStart w:id="364" w:name="_Toc9021"/>
      <w:bookmarkStart w:id="365" w:name="_Toc1190"/>
      <w:bookmarkStart w:id="366" w:name="_Toc52961994"/>
      <w:bookmarkStart w:id="367" w:name="_Toc33630666"/>
      <w:r>
        <w:rPr>
          <w:rFonts w:hint="eastAsia" w:ascii="黑体" w:hAnsi="黑体" w:eastAsia="黑体" w:cs="黑体"/>
          <w:sz w:val="32"/>
          <w:szCs w:val="32"/>
        </w:rPr>
        <w:t>第四十四章  健全多层次社会保障体系</w:t>
      </w:r>
      <w:bookmarkEnd w:id="363"/>
      <w:bookmarkEnd w:id="364"/>
    </w:p>
    <w:bookmarkEnd w:id="365"/>
    <w:bookmarkEnd w:id="366"/>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坚持守住底线，突出重点，完善制度，引导预期，加大基本民生保障力度，健全覆盖全民、统筹城乡、公平统一、可持续的多层次社会保障体系。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68" w:name="_Toc77152232"/>
      <w:bookmarkStart w:id="369" w:name="_Toc2686"/>
      <w:r>
        <w:rPr>
          <w:rFonts w:hint="eastAsia" w:ascii="楷体_GB2312" w:hAnsi="楷体_GB2312" w:eastAsia="楷体_GB2312" w:cs="楷体_GB2312"/>
          <w:b/>
          <w:bCs/>
          <w:sz w:val="32"/>
          <w:szCs w:val="32"/>
        </w:rPr>
        <w:t>第一节  完善社会保险制度</w:t>
      </w:r>
      <w:bookmarkEnd w:id="368"/>
      <w:bookmarkEnd w:id="369"/>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普惠性、均等化、保基本、可持续的方向和权责清晰、运行高效的原则，完善多层次社会保障体系。实施全民参保计划，全面提升灵活就业人员、农民工等群体参保比例，推进实现基本医疗、基本养老、工伤、生育、失业保险全覆盖。推进社保转移接续，落实基本养老、基本医疗保险筹资和待遇调整机制，完善基本养老保险制度，落实省级统筹，配合推进全国统筹，发展多层次多支柱养老保险体系。推动基本医疗保险、失业保险、工伤保险省级统筹，健全重大疾病医疗保险和救助制度，落实异地就医结算，稳步建立长期护理保险制度，丰富商业医疗保险和健康保险产品供给，加快基本社会保险制度人员全覆盖。完善灵活就业人员社保政策，完善社会保险公共服务平台和医保信息平台，推行电子社会保险保障卡，推进社会保险经办服务乡村全覆盖，探索以社会保障卡为载体实行居民服务“一卡通”。</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70" w:name="_Toc77152233"/>
      <w:bookmarkStart w:id="371" w:name="_Toc28659"/>
      <w:r>
        <w:rPr>
          <w:rFonts w:hint="eastAsia" w:ascii="楷体_GB2312" w:hAnsi="楷体_GB2312" w:eastAsia="楷体_GB2312" w:cs="楷体_GB2312"/>
          <w:b/>
          <w:bCs/>
          <w:sz w:val="32"/>
          <w:szCs w:val="32"/>
        </w:rPr>
        <w:t>第二节  完善社会救助和社会福利制度</w:t>
      </w:r>
      <w:bookmarkEnd w:id="370"/>
      <w:bookmarkEnd w:id="37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分层分类的社会救助体系，规范完善最低生活保障制度和基本生活救助标准调整机制，健全专项和急难社会救助机制，积极引导社会力量参与，推广“物质+服务”救助方式。健全老年人、残疾人关爱服务体系和设施，完善帮扶残疾人、孤儿、困难老年人等社会福利制度，加快建成精神卫生社会福利机构。完善基本殡葬公共服务网络，倡导绿色殡葬、文明祭扫。大力发展慈善事业，积极培育和规范社会慈善组织，建立政府救助与慈善救助衔接机制，加强互联网慈善监管。</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72" w:name="_Toc77152234"/>
      <w:bookmarkStart w:id="373" w:name="_Toc9244"/>
      <w:r>
        <w:rPr>
          <w:rFonts w:hint="eastAsia" w:ascii="楷体_GB2312" w:hAnsi="楷体_GB2312" w:eastAsia="楷体_GB2312" w:cs="楷体_GB2312"/>
          <w:b/>
          <w:bCs/>
          <w:sz w:val="32"/>
          <w:szCs w:val="32"/>
        </w:rPr>
        <w:t>第三节  加强退役军人服务保障</w:t>
      </w:r>
      <w:bookmarkEnd w:id="372"/>
      <w:bookmarkEnd w:id="37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健全退役军人工作体系和保障制度，依法维护退役军人合法权益。加强退役军人安置保障，完善“直通车”式安置办法，实施退役军人适应性培训、职业培训和终身职业教育，落实鼓励企业吸纳录用退役军人、支持退役军人自主创业等政策，促进退役军人广泛就业创业。健全退役军人发挥作用激励机制，常态化做好模范退役军人表彰宣传工作，加强退役军人褒扬优抚和待遇保障，推进优抚医院、光荣院建设改造和烈士纪念设施修缮维护。加强退役军人服务机构建设，完善走访慰问常态化机制，健全退役军人矛盾及时化解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74" w:name="_Toc77152235"/>
      <w:bookmarkStart w:id="375" w:name="_Toc30581"/>
      <w:r>
        <w:rPr>
          <w:rFonts w:hint="eastAsia" w:ascii="楷体_GB2312" w:hAnsi="楷体_GB2312" w:eastAsia="楷体_GB2312" w:cs="楷体_GB2312"/>
          <w:b/>
          <w:bCs/>
          <w:sz w:val="32"/>
          <w:szCs w:val="32"/>
        </w:rPr>
        <w:t>第四节  完善住房保障体系</w:t>
      </w:r>
      <w:bookmarkEnd w:id="374"/>
      <w:bookmarkEnd w:id="37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房子是用来住的，不是用来炒的”定位，加快构建多主体供给、多渠道保障、租购并举的住房制度。加快棚户区改造和公租房、共有产权住房、人才公寓建设，多途径满足住房困难群众基本住房需求。大力发展二手房市场和住房租赁市场，加快落实房地产长效机制，坚持稳地价、稳房价、稳预期，科学制定土地储备供应计划，确保房地产市场平稳健康发展。</w:t>
      </w:r>
    </w:p>
    <w:bookmarkEnd w:id="367"/>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76" w:name="_Toc61875009"/>
      <w:bookmarkStart w:id="377" w:name="_Toc77152236"/>
      <w:bookmarkStart w:id="378" w:name="_Toc5528"/>
      <w:bookmarkStart w:id="379" w:name="_Toc7637"/>
      <w:r>
        <w:rPr>
          <w:rFonts w:hint="eastAsia" w:ascii="黑体" w:hAnsi="黑体" w:eastAsia="黑体" w:cs="黑体"/>
          <w:sz w:val="32"/>
          <w:szCs w:val="32"/>
        </w:rPr>
        <w:t xml:space="preserve">第四十五章  </w:t>
      </w:r>
      <w:bookmarkEnd w:id="376"/>
      <w:r>
        <w:rPr>
          <w:rFonts w:hint="eastAsia" w:ascii="黑体" w:hAnsi="黑体" w:eastAsia="黑体" w:cs="黑体"/>
          <w:sz w:val="32"/>
          <w:szCs w:val="32"/>
        </w:rPr>
        <w:t>促进人口均衡发展</w:t>
      </w:r>
      <w:bookmarkEnd w:id="377"/>
      <w:bookmarkEnd w:id="37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落实积极应对人口老龄化国家战略，提高优生优育服务水平，完善以“一</w:t>
      </w:r>
      <w:r>
        <w:rPr>
          <w:rFonts w:hint="eastAsia" w:ascii="仿宋_GB2312" w:hAnsi="仿宋_GB2312" w:eastAsia="仿宋_GB2312" w:cs="仿宋_GB2312"/>
          <w:sz w:val="32"/>
          <w:szCs w:val="32"/>
          <w:lang w:eastAsia="zh-CN"/>
        </w:rPr>
        <w:t>老</w:t>
      </w:r>
      <w:r>
        <w:rPr>
          <w:rFonts w:hint="eastAsia" w:ascii="仿宋_GB2312" w:hAnsi="仿宋_GB2312" w:eastAsia="仿宋_GB2312" w:cs="仿宋_GB2312"/>
          <w:sz w:val="32"/>
          <w:szCs w:val="32"/>
        </w:rPr>
        <w:t>一小”为重点的人口服务体系，推动人口结构长期均衡发展，提高人口素质。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80" w:name="_Toc77152237"/>
      <w:bookmarkStart w:id="381" w:name="_Toc31639"/>
      <w:r>
        <w:rPr>
          <w:rFonts w:hint="eastAsia" w:ascii="楷体_GB2312" w:hAnsi="楷体_GB2312" w:eastAsia="楷体_GB2312" w:cs="楷体_GB2312"/>
          <w:b/>
          <w:bCs/>
          <w:sz w:val="32"/>
          <w:szCs w:val="32"/>
        </w:rPr>
        <w:t xml:space="preserve">第一节 </w:t>
      </w: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bCs/>
          <w:sz w:val="32"/>
          <w:szCs w:val="32"/>
        </w:rPr>
        <w:t>推动实现适度生育水平</w:t>
      </w:r>
      <w:bookmarkEnd w:id="380"/>
      <w:bookmarkEnd w:id="38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国家生育政策，增强生育政策包容性，降低生育、养育、教育成本，引导生育水平提升并稳定在适度区间，保持人口总量稳定增长。推进优生优育全程服务，加强出生缺陷综合防治，提升危重孕产妇和新生儿救治保障能力，持续开展出生人口性别比失衡问题综合治理。全面落实产假政策，完善家庭婴幼儿早期发展指导支持体系，发展普惠托育服务体系，支持社会力量提供普惠托育服务，推进城乡社区婴幼儿照护服务设施建设，加强婴幼儿照护服务主体培育和规范管理，提高从业人员素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82" w:name="_Toc77152238"/>
      <w:bookmarkStart w:id="383" w:name="_Toc11668"/>
      <w:r>
        <w:rPr>
          <w:rFonts w:hint="eastAsia" w:ascii="楷体_GB2312" w:hAnsi="楷体_GB2312" w:eastAsia="楷体_GB2312" w:cs="楷体_GB2312"/>
          <w:b/>
          <w:bCs/>
          <w:sz w:val="32"/>
          <w:szCs w:val="32"/>
        </w:rPr>
        <w:t>第二节  完善养老服务体系</w:t>
      </w:r>
      <w:bookmarkEnd w:id="382"/>
      <w:bookmarkEnd w:id="383"/>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养老事业和养老产业协同发展，构建居家社区机构相协调、医养康养相结合的养老服务体系，健全养老服务综合监管制度，支持家庭承担养老功能，加快布局建设日间照料机构等社区养老服务设施，探索邻里互助、农村互助幸福院、“时间银行”等互助性养老模式，完善农村养老服务网络，健全基本养老服务体系，强化公办和公建民营养老机构兜底保障。统筹建设公益性养老服务设施，积极发展服务失能老人的老年养护院、社区日间照料中心、养老智慧社区等，开发老年人服务市场，通过医养结合、股权合作、众筹共享等方式，支持各类市场主体增加养老服务和产品供给。推动实施“互联网+养老”项目，开发应用智能终端和居家社区养老服务智慧平台、APP应用等。支持社会资本投资兴办养老机构，改善提升特困人员供养服务设施，积极发展医养结合机构，推动养老机构与合作医疗机构普遍开通双向转介绿色通道，培育康养联合体等新业态。实施老旧小区适老化改造和公共服务设施无障碍改造工程。推进老年大学建设，注重消除老年“数字鸿沟”。加强老年人权益保障，建设老年友好型社会。“十四五”期间，争取每个街道配建一个具备综合功能的社区养老服务机构，实现符合标准的老年人服务设施城区全覆盖和覆盖60%以上的农村社区，至少建成1所以失能、部分失能特困老人专业照护为主的公益性特困供养机构（敬老院）。</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84" w:name="_Toc77152239"/>
      <w:bookmarkStart w:id="385" w:name="_Toc15392"/>
      <w:r>
        <w:rPr>
          <w:rFonts w:hint="eastAsia" w:ascii="楷体_GB2312" w:hAnsi="楷体_GB2312" w:eastAsia="楷体_GB2312" w:cs="楷体_GB2312"/>
          <w:b/>
          <w:bCs/>
          <w:sz w:val="32"/>
          <w:szCs w:val="32"/>
        </w:rPr>
        <w:t>第三节  发展银发经济</w:t>
      </w:r>
      <w:bookmarkEnd w:id="384"/>
      <w:bookmarkEnd w:id="38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开展老龄人力资源，落实渐进式延迟法定退休年龄政策，倡导终身发展理念，支持老年人力所能及发光发热、老有所为，健全配套政策措施，支持大龄劳动者和老年人就业创业。依托老年康养中心，用“康养式工作”模式，吸引郑州等地离退休高端人才和商水籍在外离退休人才到我县季节性居住并为家乡发展贡献智慧。广泛宣传老干部、老战士、老专家、老教师、老模范等离退休老同志先进事迹和崇高精神，支持更多老同志在关心下一代等方面发挥特长和优势。</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86" w:name="_Toc77152240"/>
      <w:bookmarkStart w:id="387" w:name="_Toc29090"/>
      <w:r>
        <w:rPr>
          <w:rFonts w:hint="eastAsia" w:ascii="楷体_GB2312" w:hAnsi="楷体_GB2312" w:eastAsia="楷体_GB2312" w:cs="楷体_GB2312"/>
          <w:b/>
          <w:bCs/>
          <w:sz w:val="32"/>
          <w:szCs w:val="32"/>
        </w:rPr>
        <w:t>第四节  完善青年发展政策体系</w:t>
      </w:r>
      <w:bookmarkEnd w:id="386"/>
      <w:bookmarkEnd w:id="38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青年优先发展促进工程，加大对青年教育、就业、创业、住房、婚恋、文化等领域的支持力度，全面建设青年友好型商水，青年发展型商水。加强青年理想信念教育，培育和践行社会主义核心价值观。促进青年全面发展，引导青年有序参与政治生活和社会公共事务，引导青年踊跃投身创新实践，鼓励青年在经济社会发展中充分发挥生产力和突击队作用。加强青年社会组织培育，鼓励和支持青年参与社会实践和志愿服务。健全青年工作联席会议机制，完善青年发展状况监测评估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88" w:name="_Toc77152241"/>
      <w:bookmarkStart w:id="389" w:name="_Toc61875010"/>
      <w:bookmarkStart w:id="390" w:name="_Toc413"/>
      <w:r>
        <w:rPr>
          <w:rFonts w:hint="eastAsia" w:ascii="黑体" w:hAnsi="黑体" w:eastAsia="黑体" w:cs="黑体"/>
          <w:sz w:val="32"/>
          <w:szCs w:val="32"/>
        </w:rPr>
        <w:t>第四十六章  加强妇女未成年人关爱服务</w:t>
      </w:r>
      <w:bookmarkEnd w:id="388"/>
      <w:bookmarkEnd w:id="389"/>
      <w:bookmarkEnd w:id="390"/>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91" w:name="_Toc77152242"/>
      <w:bookmarkStart w:id="392" w:name="_Toc1107"/>
      <w:r>
        <w:rPr>
          <w:rFonts w:hint="eastAsia" w:ascii="楷体_GB2312" w:hAnsi="楷体_GB2312" w:eastAsia="楷体_GB2312" w:cs="楷体_GB2312"/>
          <w:b/>
          <w:bCs/>
          <w:sz w:val="32"/>
          <w:szCs w:val="32"/>
        </w:rPr>
        <w:t>第一节  保障妇女儿童合法权益</w:t>
      </w:r>
      <w:bookmarkEnd w:id="391"/>
      <w:bookmarkEnd w:id="39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男女平等基本国策，切实保障妇女平等获得就学、就业、婚姻财产和参与社会事务的权利，依法保障女职工生育权利和母婴权益，扩大母婴室覆盖区域。保护未成年人权益，完善适度普惠的儿童福利体系和关爱保障政策，加强对困境儿童、留守儿童、残疾儿童、流浪儿童的救助干预。保障儿童身心健康成长发育。健全妇女保健、儿童保健、孕产保健等健康服务体系，加强妇女儿童常见病筛查和早诊早治，继续开展农村妇女宫颈癌和乳腺癌筛查。严厉打击拐卖妇女儿童、危害青少年身心健康的违法行为。加强中小学欺凌和暴力防治。构建青少年成长发展社会支持体系，挖掘和培育一批青少年事务社会工作专业人才，开展青少年心理健康护航行动。更好发挥妇联职能作用，引导妇女自尊、自信、自立、自强，开展富有女性特色的建功立业活动，组织动员妇女走在时代前列。</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93" w:name="_Toc77152243"/>
      <w:bookmarkStart w:id="394" w:name="_Toc22448"/>
      <w:r>
        <w:rPr>
          <w:rFonts w:hint="eastAsia" w:ascii="楷体_GB2312" w:hAnsi="楷体_GB2312" w:eastAsia="楷体_GB2312" w:cs="楷体_GB2312"/>
          <w:b/>
          <w:bCs/>
          <w:sz w:val="32"/>
          <w:szCs w:val="32"/>
        </w:rPr>
        <w:t>第二节  加强家庭家教家风建设</w:t>
      </w:r>
      <w:bookmarkEnd w:id="393"/>
      <w:bookmarkEnd w:id="39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泛开展家庭家教家风主题教育和道德实践活动，更加注重发挥妇女在家庭生活中的独特作用，发扬光大尊老爱幼、男女平等、夫妻和睦、勤俭持家、邻里团结等中华民族传统美德，引导人民自觉承担家庭责任、树立良好家风、促进家庭和顺、重视以身作则和言传身教，倡导家庭成员相互尊重关爱、彼此扶持，倡导爱国敬业、诚信守诺、奉献社会，积极防御和制止家庭暴力，不断提升家庭的幸福感和凝聚力。加强家风家教示范基地建设，持续开展最美家庭推选宣传，弘扬好家风好家训。</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395" w:name="_Toc77152244"/>
      <w:bookmarkStart w:id="396" w:name="_Toc12496"/>
      <w:r>
        <w:rPr>
          <w:rFonts w:hint="eastAsia" w:ascii="黑体" w:hAnsi="黑体" w:eastAsia="黑体" w:cs="黑体"/>
          <w:sz w:val="32"/>
          <w:szCs w:val="32"/>
        </w:rPr>
        <w:t>第四十七章</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 xml:space="preserve"> 加强和创新社会治理</w:t>
      </w:r>
      <w:bookmarkEnd w:id="379"/>
      <w:bookmarkEnd w:id="395"/>
      <w:bookmarkEnd w:id="39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完善党委领导、政府负责、公众参与、法治保障、科技支撑的社会治理体系，形成共建共治共享的社会治理新格局和智慧管理系统。</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97" w:name="_Toc77152245"/>
      <w:bookmarkStart w:id="398" w:name="_Toc15035"/>
      <w:r>
        <w:rPr>
          <w:rFonts w:hint="eastAsia" w:ascii="楷体_GB2312" w:hAnsi="楷体_GB2312" w:eastAsia="楷体_GB2312" w:cs="楷体_GB2312"/>
          <w:b/>
          <w:bCs/>
          <w:sz w:val="32"/>
          <w:szCs w:val="32"/>
        </w:rPr>
        <w:t>第一节  提升政府治理能力</w:t>
      </w:r>
      <w:bookmarkEnd w:id="397"/>
      <w:bookmarkEnd w:id="39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创新政府社会治理理念，强化法治意识和服务意识，寓管理于服务，以服务促管理。改进政府治理方式，充分运用现代科技手段，加快城市“大脑”基础设施建设和农村社会治理信息服务平台建设，推行社会治理网格化、数字化、精细化管理和服务，强化源头治理、动态管理、应急处置和标本兼治。加强基层政府服务能力建设，健全社区网络化管理机制。汇集综治、公安、司法、社会力量，加强人口管理、信用体系、危机预警干预等机制建设，形成共建共治共享的社会治理体系。加强基层党组织建设，坚持“三有三带”标准，选优配强村“两委”班子。实施农村带头人队伍整体优化提升行动，加大在农民合作社、农业企业、农业社会化服务组织中建立党组织力度，重视从乡村</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"https://www.tuliu.com/news/list-c10" \t "_blank"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致富</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rPr>
        <w:t>能手、外出务工经商人员、大学毕业生、复员退伍军人中培养选拔农村带头人，充分发挥农村党员先进模范作用。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399" w:name="_Toc77152246"/>
      <w:bookmarkStart w:id="400" w:name="_Toc667"/>
      <w:bookmarkStart w:id="401" w:name="_Toc28744"/>
      <w:r>
        <w:rPr>
          <w:rFonts w:hint="eastAsia" w:ascii="楷体_GB2312" w:hAnsi="楷体_GB2312" w:eastAsia="楷体_GB2312" w:cs="楷体_GB2312"/>
          <w:b/>
          <w:bCs/>
          <w:sz w:val="32"/>
          <w:szCs w:val="32"/>
        </w:rPr>
        <w:t>第二节  完善城乡社区治理体系</w:t>
      </w:r>
      <w:bookmarkEnd w:id="399"/>
      <w:bookmarkEnd w:id="400"/>
      <w:bookmarkEnd w:id="40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推动社会治理和服务重心向基层下移、资源向基层下沉。引导社会组织、社会工作者和志愿者积极参与，建立协调高效的联动机制，提升社区工作者队伍职业素质，显著提高社区综合服务能力。健全城乡社区综合服务管理平台，实现社区综合服务设施全覆盖，促进公共服务、便民利民服务、志愿服务有机衔接，推行一站式服务。健全社会组织管理制度，形成政社分开、权责明确、依法自治的现代社会组织体系，完善社会矛盾纠纷多元预防调处化解综合机制。构建农村基层服务平台，制定村（农村社区）基本公共服务清单，加快实现 “一门式办理”、“一站式服务”的村（农村社区）综合服务平台全覆盖。以综治信息化为支撑，将人、地、事、物、组织等基本要素纳入网格，实现基层服务管理精细化精准化。大力培育农村经营性、公益性、互助性服务主体，积极发挥农村各类经济组织作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02" w:name="_Toc77152247"/>
      <w:bookmarkStart w:id="403" w:name="_Toc23589"/>
      <w:r>
        <w:rPr>
          <w:rFonts w:hint="eastAsia" w:ascii="楷体_GB2312" w:hAnsi="楷体_GB2312" w:eastAsia="楷体_GB2312" w:cs="楷体_GB2312"/>
          <w:b/>
          <w:bCs/>
          <w:sz w:val="32"/>
          <w:szCs w:val="32"/>
        </w:rPr>
        <w:t xml:space="preserve">第三节  </w:t>
      </w:r>
      <w:bookmarkStart w:id="404" w:name="_Toc11723"/>
      <w:r>
        <w:rPr>
          <w:rFonts w:hint="eastAsia" w:ascii="楷体_GB2312" w:hAnsi="楷体_GB2312" w:eastAsia="楷体_GB2312" w:cs="楷体_GB2312"/>
          <w:b/>
          <w:bCs/>
          <w:sz w:val="32"/>
          <w:szCs w:val="32"/>
        </w:rPr>
        <w:t>增强社会自治功能</w:t>
      </w:r>
      <w:bookmarkEnd w:id="402"/>
      <w:bookmarkEnd w:id="403"/>
      <w:bookmarkEnd w:id="40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力倡导公众用社会公德、职业道德、家庭美德、个人品德等道德规范修身律己，自觉履行法定义务、社会责任和家庭责任，自觉遵守和维护社会秩序。加强村规民约、社区公约等社会规范建设，充分发挥其在协调社会关系、约束个人行为等方面的积极作用。依法保障居民知情权、参与权、决策权和监督权，完善公众参与治理的制度化渠道。对关系公众切身利益的重大决策，以居民会议、议事协商、民主听证等形式，广泛征求公众意见建议。完善村务公开、居务公开、民主评议等途径，加强公众监督评估。深化村民自治实践，加强农村群众性自治组织建设，完善村民自治机制，规范村民议事决策主体和程序，健全村务公开监督制度。赋予村规民约现代价值，弘扬公序良俗，促进发挥独特作用。推进平安乡村建设，完善农村社会治安防控体系和公共安全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05" w:name="_Toc77152248"/>
      <w:bookmarkStart w:id="406" w:name="_Toc8114"/>
      <w:r>
        <w:rPr>
          <w:rFonts w:hint="eastAsia" w:ascii="楷体_GB2312" w:hAnsi="楷体_GB2312" w:eastAsia="楷体_GB2312" w:cs="楷体_GB2312"/>
          <w:b/>
          <w:bCs/>
          <w:sz w:val="32"/>
          <w:szCs w:val="32"/>
        </w:rPr>
        <w:t xml:space="preserve">第四节  </w:t>
      </w:r>
      <w:bookmarkStart w:id="407" w:name="_Toc1621"/>
      <w:r>
        <w:rPr>
          <w:rFonts w:hint="eastAsia" w:ascii="楷体_GB2312" w:hAnsi="楷体_GB2312" w:eastAsia="楷体_GB2312" w:cs="楷体_GB2312"/>
          <w:b/>
          <w:bCs/>
          <w:sz w:val="32"/>
          <w:szCs w:val="32"/>
        </w:rPr>
        <w:t>健全权益保障和矛盾化解机制</w:t>
      </w:r>
      <w:bookmarkEnd w:id="405"/>
      <w:bookmarkEnd w:id="406"/>
      <w:bookmarkEnd w:id="407"/>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引导群众依法行使权利、表达诉求、解决纠纷。完善行政复议、仲裁、诉讼等法定诉求表达机制，发挥人大代表、政协委员、人民团体、社会组织等的诉求表达功能。落实重大决策社会稳定风险评估制度，完善调解、仲裁、行政裁决、行政复议、诉讼等有机衔接、相互协调的多元化纠纷解决机制。健全利益保护机制，保障群众权利得到公平对待、有效维护。健全社会心理服务体系，积极开展对特殊人群的心理疏导和矫治。加强法侓援助，及时解决群众合理诉求。</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2"/>
        <w:rPr>
          <w:rFonts w:hint="eastAsia" w:ascii="楷体_GB2312" w:hAnsi="楷体_GB2312" w:eastAsia="楷体_GB2312" w:cs="楷体_GB2312"/>
          <w:b/>
          <w:bCs/>
          <w:sz w:val="32"/>
          <w:szCs w:val="32"/>
        </w:rPr>
      </w:pPr>
      <w:bookmarkStart w:id="408" w:name="_Toc77152249"/>
      <w:bookmarkStart w:id="409" w:name="_Toc31115"/>
      <w:r>
        <w:rPr>
          <w:rFonts w:hint="eastAsia" w:ascii="楷体_GB2312" w:hAnsi="楷体_GB2312" w:eastAsia="楷体_GB2312" w:cs="楷体_GB2312"/>
          <w:b/>
          <w:bCs/>
          <w:sz w:val="32"/>
          <w:szCs w:val="32"/>
        </w:rPr>
        <w:t xml:space="preserve">第五节  </w:t>
      </w:r>
      <w:bookmarkStart w:id="410" w:name="_Toc4757"/>
      <w:r>
        <w:rPr>
          <w:rFonts w:hint="eastAsia" w:ascii="楷体_GB2312" w:hAnsi="楷体_GB2312" w:eastAsia="楷体_GB2312" w:cs="楷体_GB2312"/>
          <w:b/>
          <w:bCs/>
          <w:sz w:val="32"/>
          <w:szCs w:val="32"/>
        </w:rPr>
        <w:t>加强社会信用体系建设</w:t>
      </w:r>
      <w:bookmarkEnd w:id="408"/>
      <w:bookmarkEnd w:id="409"/>
      <w:bookmarkEnd w:id="41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快推进政务诚信、商务诚信、社会诚信和司法公信等重点领域信用建设，推进信用信息共享，健全激励惩戒机制，提高全社会诚信水平。依托县公共信用信息平台，加强政府部门、行业和地方信用信息整合，建立企业信用信息归集机制，实现企业、各类机构、家庭和个人信用信息归集，完善信用信息共享平台。建立信息披露和诚信档案制度，加快充实各类市场主体和社会成员信用记录，完善自然人和社会法人信用记录，推进全社会信用信息资源开放共享，强化信用信息共建共享。对电子商务市场主体开展公共信用综合评价，建立信用分级分类监管制度。建立守信奖励激励机制。在市场监管和公共服务过程中，对诚实守信者实行提供便利化服务等激励政策。健全多部门、跨行业联合惩戒机制，强化企业信用依法公示和监管，建立各行业失信黑名单制度和市场退出机制。实施信用体系建设示范创建行动，以创建全国信用体系示范县为抓手，推动建设信用示范乡镇、示范街区、示范企业、示范景区等，营造诚实守信的经济社会发展环境。</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p>
    <w:tbl>
      <w:tblPr>
        <w:tblStyle w:val="26"/>
        <w:tblW w:w="81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88" w:type="dxa"/>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lang w:val="en-US" w:eastAsia="zh-CN"/>
              </w:rPr>
              <w:t>专栏12  社会建设和民生保障重点工程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8" w:type="dxa"/>
          </w:tcPr>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教育现代化工程。与北大附中联合办学，在东区新建一所十二年一贯制学校，增加学位7500个；新办实验高中，增加学位2000个。新建商水县县直二中（城关乡一中搬迁）、农村教师周转房、学前教育推进工程等项目。</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实施就业促进计划。落实大学生创业补贴、创业担保贷款、大学生创业吸纳就业奖励等优惠政策，大力开展创业培训，鼓励大学毕业生等重点人群创新创业。十四五期间，每年实现城镇新增就业6000人以上，失业人员再就业1800人以上，就业困难人员实现再就业500人以上，城镇登记失业率控制在4%以内。加快推进商水县职教中心项目建设。</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3、社会保障扩面工程。“十四五”末，企业职工养老保险参保人数达到2.5万人，城乡居民养老保险人数达到60万人，工伤保险参保人数达到4万人，失业保险参保人数达到3万人。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养老服务普惠性工程。改扩建社区养老服务中心571所、乡镇敬老院21所，新增养老床位6000张；统筹推进儿童之家、社区服务站、殡仪馆改造、公益性骨灰楼、公益性公墓等项目建设。农村社区养老服务设施覆盖率达到70%以上，老年医疗护理床位占养老床位比重超过60%以上，养老护理人员岗前培训率达到100%。在城市社区按照人均用地不少于0.1平方米的标准，分区分级规划设置养老服务设施。重点推进商水县老年幸福院、20个社区老年人日间照料中心项目建设。加快形成医疗卫生和养老服务资源共建共享、覆盖城乡、功能合理、综合持续的医养结合服务网络。依托农村社区综合服务中心、村卫生室、全民健身等设施，通过资源整合，为留守、孤寡、独居、失能的老年人提供关爱服务。</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5、“双创”示范基地建设工程。聚焦“互联网平台+创业单元”的新业态新模式，集中优势资源，创建集创业孵化园、返乡创业就业示范园、人力资源服务业产业园于一体的“双创”示范基地建设，为创业者提供创业见习、创业融资、创业场地、创业孵化、展示交流等公共创业服务，打造面向重点群体的专业化创业服务载体。</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6、医疗服务能力提升工程。新建13个乡镇卫生院门诊医技综合楼、公共卫生服务楼、病房楼等基础设施；为7个乡镇卫生院购买DR、彩超和CT等设备。加强医疗卫生队伍建设，大力开展合作交流、定向培养、委托培养、集中培训等，扩大职业技术学院培养规模，加大高层次医护人才、医疗科研专家、全科医生、住院医师、乡村医生引进培养力度，每万人口全科医生达到3名。</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7、全民体育健身工程。建成全民健身中心，新增公共体育场、体育公园、社会足球场设施，构建社区15分钟健身圈。</w:t>
            </w:r>
          </w:p>
        </w:tc>
      </w:tr>
      <w:bookmarkEnd w:id="328"/>
    </w:tbl>
    <w:p>
      <w:pPr>
        <w:keepNext w:val="0"/>
        <w:keepLines w:val="0"/>
        <w:pageBreakBefore w:val="0"/>
        <w:widowControl w:val="0"/>
        <w:kinsoku/>
        <w:wordWrap/>
        <w:overflowPunct/>
        <w:topLinePunct w:val="0"/>
        <w:autoSpaceDE/>
        <w:autoSpaceDN/>
        <w:bidi w:val="0"/>
        <w:adjustRightInd/>
        <w:snapToGrid/>
        <w:spacing w:before="313" w:beforeLines="100" w:after="313" w:afterLines="100" w:line="600" w:lineRule="exact"/>
        <w:jc w:val="center"/>
        <w:textAlignment w:val="auto"/>
        <w:outlineLvl w:val="0"/>
        <w:rPr>
          <w:rFonts w:hint="eastAsia" w:ascii="黑体" w:hAnsi="黑体" w:eastAsia="黑体" w:cs="黑体"/>
          <w:sz w:val="32"/>
          <w:szCs w:val="32"/>
        </w:rPr>
      </w:pPr>
      <w:bookmarkStart w:id="411" w:name="_Toc77152250"/>
      <w:bookmarkStart w:id="412" w:name="_Toc4276"/>
      <w:r>
        <w:rPr>
          <w:rFonts w:hint="eastAsia" w:ascii="黑体" w:hAnsi="黑体" w:eastAsia="黑体" w:cs="黑体"/>
          <w:sz w:val="32"/>
          <w:szCs w:val="32"/>
        </w:rPr>
        <w:t>第十二篇  建设更高水平的平安商水</w:t>
      </w:r>
      <w:bookmarkEnd w:id="411"/>
      <w:bookmarkEnd w:id="41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牢固树立底线思维，增强忧患意识，全面落实维护国家安全责任，统筹发展和安全，把安全发展贯穿到现代化建设各领域和全过程，全面加强突发公共卫生事件应急处置能力、防灾减灾救灾能力建设，进一步提高安全生产水平，有效控制化解经济领域风险隐患，筑牢公共安全体系，确保政治安全、社会安定、人民安宁。</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13" w:name="_Toc77152251"/>
      <w:bookmarkStart w:id="414" w:name="_Toc26255"/>
      <w:r>
        <w:rPr>
          <w:rFonts w:hint="eastAsia" w:ascii="黑体" w:hAnsi="黑体" w:eastAsia="黑体" w:cs="黑体"/>
          <w:sz w:val="32"/>
          <w:szCs w:val="32"/>
        </w:rPr>
        <w:t>第四十八章  坚决维护国家安全和政治安全</w:t>
      </w:r>
      <w:bookmarkEnd w:id="413"/>
      <w:bookmarkEnd w:id="41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落实维护国家安全责任，积极参与国家安全体系和能力建设，深入开展国家安全宣传教育，增强全民国家安全意识，巩固国家安全人民防线。坚决维护以政权安全、制度安全为核心的政治安全，深入抓好政治安全风险隐患排查化解，严密防范和严厉打击各种渗透、破坏、颠覆、分裂活动。扎实开展反邪教斗争，依法处置宗教非法活动。严格落实党委意识形态工作责任制，加强宣传思想文化阵地建设和管理，加强网络安全保保障体系和能力建设，做好网络意识形态工作。加强党管武装工作，选准配强专职武装干部队伍，配齐基层武装部装备器材，力争全面验收年年达标和入选省军区“党管武装模范县”。加快推进</w:t>
      </w:r>
      <w:r>
        <w:rPr>
          <w:rFonts w:hint="eastAsia" w:ascii="仿宋_GB2312" w:hAnsi="仿宋_GB2312" w:eastAsia="仿宋_GB2312" w:cs="仿宋_GB2312"/>
          <w:sz w:val="32"/>
          <w:szCs w:val="32"/>
          <w:lang w:eastAsia="zh-CN"/>
        </w:rPr>
        <w:t>公安局“两所一队”、</w:t>
      </w:r>
      <w:r>
        <w:rPr>
          <w:rFonts w:hint="eastAsia" w:ascii="仿宋_GB2312" w:hAnsi="仿宋_GB2312" w:eastAsia="仿宋_GB2312" w:cs="仿宋_GB2312"/>
          <w:sz w:val="32"/>
          <w:szCs w:val="32"/>
        </w:rPr>
        <w:t>人武部民兵训练基地和国防教育中心等场地建设。加强民兵队伍建设，深化民兵组织调整改革成果，增强民兵队伍应急应战能力。加大国防教育宣讲力度，持续推进国防教育进校园，发挥国防教育讲师团作用，不断提高全民国防意识，实现国防动员建设高质量发展。</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15" w:name="_Toc77152252"/>
      <w:bookmarkStart w:id="416" w:name="_Toc13997"/>
      <w:r>
        <w:rPr>
          <w:rFonts w:hint="eastAsia" w:ascii="黑体" w:hAnsi="黑体" w:eastAsia="黑体" w:cs="黑体"/>
          <w:sz w:val="32"/>
          <w:szCs w:val="32"/>
        </w:rPr>
        <w:t>第四十九章  强化经济社会领域安全保障</w:t>
      </w:r>
      <w:bookmarkEnd w:id="415"/>
      <w:bookmarkEnd w:id="41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底线思维、预防为主，科学统筹、标本兼治，清单管理、精准管控，完善信息收集预警机制、社会矛盾常态化排查化解机制。防范化解金融风险，全面开展风险监测排查，依法严厉打击非法集资，营造良好金融生态。管控企业风险，建立风险企业台账，“一企一策”制定企业帮扶或风险处置方案。加强政府债务管理，规范政府投资行为，强化政府债务审计，有序化解隐性债务。深化平安商水建设，完善社会治安立体防控体系，纵深推进扫黑除恶专项斗争。学习新时代“枫桥经验”，持续有效化解信访突出问题。全面贯彻党的民族政策和宗教工作基本方针，夯实团结奋斗的基础，优化安全发展环境。</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17" w:name="_Toc77152253"/>
      <w:bookmarkStart w:id="418" w:name="_Toc9777"/>
      <w:r>
        <w:rPr>
          <w:rFonts w:hint="eastAsia" w:ascii="黑体" w:hAnsi="黑体" w:eastAsia="黑体" w:cs="黑体"/>
          <w:sz w:val="32"/>
          <w:szCs w:val="32"/>
        </w:rPr>
        <w:t>第五十章  保障人民生命安全</w:t>
      </w:r>
      <w:bookmarkEnd w:id="417"/>
      <w:bookmarkEnd w:id="41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坚持人民至上、生命至上，把保护人民生命安全摆在首位，全面提高公共安全保障能力。建立健全责任全覆盖、管理全方位、监管全过程的安全生产综合治理体系，构建安全生产长效机制。</w:t>
      </w:r>
      <w:r>
        <w:rPr>
          <w:rFonts w:hint="eastAsia" w:ascii="仿宋_GB2312" w:hAnsi="仿宋_GB2312" w:eastAsia="仿宋_GB2312" w:cs="仿宋_GB2312"/>
          <w:sz w:val="32"/>
          <w:szCs w:val="32"/>
          <w:lang w:eastAsia="zh-CN"/>
        </w:rPr>
        <w:t>加大财政投入，</w:t>
      </w:r>
      <w:r>
        <w:rPr>
          <w:rFonts w:hint="eastAsia" w:ascii="仿宋_GB2312" w:hAnsi="仿宋_GB2312" w:eastAsia="仿宋_GB2312" w:cs="仿宋_GB2312"/>
          <w:sz w:val="32"/>
          <w:szCs w:val="32"/>
        </w:rPr>
        <w:t>加强隐患排查治理和预防控制体系、安全生产监管信息化和应急救援、监察监管能力等建设，确保实现“一杜绝三下降”目标。</w:t>
      </w:r>
      <w:r>
        <w:rPr>
          <w:rFonts w:hint="eastAsia" w:ascii="仿宋_GB2312" w:hAnsi="仿宋_GB2312" w:eastAsia="仿宋_GB2312" w:cs="仿宋_GB2312"/>
          <w:sz w:val="32"/>
          <w:szCs w:val="32"/>
          <w:lang w:eastAsia="zh-CN"/>
        </w:rPr>
        <w:t>推进安全城市创建工作，健全公共安全体系，提升城市安全保障水平，</w:t>
      </w:r>
      <w:r>
        <w:rPr>
          <w:rFonts w:hint="eastAsia" w:ascii="仿宋_GB2312" w:hAnsi="仿宋_GB2312" w:eastAsia="仿宋_GB2312" w:cs="仿宋_GB2312"/>
          <w:sz w:val="32"/>
          <w:szCs w:val="32"/>
        </w:rPr>
        <w:t>建成安全生产应急救援指挥中心，健全安全生产应急救援装备体系。实施危险化学品和化工企业生产、仓储安全环保搬迁工程。抓好食品药品市场安全监管。加强交通安全防控网络等安全生产基础能力建设，强化电信、电网、路桥、供水、油气等重要基础设施安全监控保卫。实施全民安全素质提升工程。</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19" w:name="_Toc77152254"/>
      <w:bookmarkStart w:id="420" w:name="_Toc31035"/>
      <w:r>
        <w:rPr>
          <w:rFonts w:hint="eastAsia" w:ascii="黑体" w:hAnsi="黑体" w:eastAsia="黑体" w:cs="黑体"/>
          <w:sz w:val="32"/>
          <w:szCs w:val="32"/>
        </w:rPr>
        <w:t>第五十一章  加强突发公共事件应急体系建设</w:t>
      </w:r>
      <w:bookmarkEnd w:id="419"/>
      <w:bookmarkEnd w:id="42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应急基础能力建设，构建水文、气象、空间地理数据库、应急大数据平台和智慧调度中心，健全完善重大危险源、突发传染病、重大自然灾害、重大安全事故的风险管控体系，增强突发事件预警发布和应急响应能力。推进应急</w:t>
      </w:r>
      <w:r>
        <w:rPr>
          <w:rFonts w:hint="eastAsia" w:ascii="仿宋_GB2312" w:hAnsi="仿宋_GB2312" w:eastAsia="仿宋_GB2312" w:cs="仿宋_GB2312"/>
          <w:sz w:val="32"/>
          <w:szCs w:val="32"/>
          <w:lang w:eastAsia="zh-CN"/>
        </w:rPr>
        <w:t>救灾</w:t>
      </w:r>
      <w:r>
        <w:rPr>
          <w:rFonts w:hint="eastAsia" w:ascii="仿宋_GB2312" w:hAnsi="仿宋_GB2312" w:eastAsia="仿宋_GB2312" w:cs="仿宋_GB2312"/>
          <w:sz w:val="32"/>
          <w:szCs w:val="32"/>
        </w:rPr>
        <w:t>物资储备</w:t>
      </w:r>
      <w:r>
        <w:rPr>
          <w:rFonts w:hint="eastAsia" w:ascii="仿宋_GB2312" w:hAnsi="仿宋_GB2312" w:eastAsia="仿宋_GB2312" w:cs="仿宋_GB2312"/>
          <w:sz w:val="32"/>
          <w:szCs w:val="32"/>
          <w:lang w:eastAsia="zh-CN"/>
        </w:rPr>
        <w:t>及保障</w:t>
      </w:r>
      <w:r>
        <w:rPr>
          <w:rFonts w:hint="eastAsia" w:ascii="仿宋_GB2312" w:hAnsi="仿宋_GB2312" w:eastAsia="仿宋_GB2312" w:cs="仿宋_GB2312"/>
          <w:sz w:val="32"/>
          <w:szCs w:val="32"/>
        </w:rPr>
        <w:t>中心、天然气储备中心、应急救援</w:t>
      </w:r>
      <w:r>
        <w:rPr>
          <w:rFonts w:hint="eastAsia" w:ascii="仿宋_GB2312" w:hAnsi="仿宋_GB2312" w:eastAsia="仿宋_GB2312" w:cs="仿宋_GB2312"/>
          <w:sz w:val="32"/>
          <w:szCs w:val="32"/>
          <w:lang w:eastAsia="zh-CN"/>
        </w:rPr>
        <w:t>基地</w:t>
      </w:r>
      <w:r>
        <w:rPr>
          <w:rFonts w:hint="eastAsia" w:ascii="仿宋_GB2312" w:hAnsi="仿宋_GB2312" w:eastAsia="仿宋_GB2312" w:cs="仿宋_GB2312"/>
          <w:sz w:val="32"/>
          <w:szCs w:val="32"/>
        </w:rPr>
        <w:t>建设。加强县、乡镇（街道办事处）、村（社区）三级应急资源协同保障供应能力建设，抓紧建成安全事故紧急救援中心，补齐应急处置体系短板，完善救灾物资储备体系。建成与公共安全风险相匹配、覆盖应急管理全过程、全社会共同参与的突发事件应急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21" w:name="_Toc77152255"/>
      <w:bookmarkStart w:id="422" w:name="_Toc6094"/>
      <w:r>
        <w:rPr>
          <w:rFonts w:hint="eastAsia" w:ascii="黑体" w:hAnsi="黑体" w:eastAsia="黑体" w:cs="黑体"/>
          <w:sz w:val="32"/>
          <w:szCs w:val="32"/>
        </w:rPr>
        <w:t>第五十二章  增强防灾救灾减灾能力</w:t>
      </w:r>
      <w:bookmarkEnd w:id="421"/>
      <w:bookmarkEnd w:id="42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防为主，防、抗、救相结合，健全自然灾害大数据平台、调查评估、监测预警、防治应急体系，增强减灾救灾科技支撑，全面提高抵御气象、洪涝、干旱、地震等自然灾害综合防范能力。深入排查道路、桥涵安全隐患，加快河道、低洼易涝区、城市排水系统安全性改造，提高防灾等级标准。加强自然灾害防控、减灾防灾救灾核心能力建设，完善县、镇（乡）、村三级灾害应急指挥体系和调度平台，统筹交通物流、物资保障、医疗卫生等资源配置。加快安全事故紧急救援中心建设，强化</w:t>
      </w:r>
      <w:r>
        <w:rPr>
          <w:rFonts w:hint="eastAsia" w:ascii="仿宋_GB2312" w:hAnsi="仿宋_GB2312" w:eastAsia="仿宋_GB2312" w:cs="仿宋_GB2312"/>
          <w:sz w:val="32"/>
          <w:szCs w:val="32"/>
          <w:lang w:eastAsia="zh-CN"/>
        </w:rPr>
        <w:t>消防救援队伍和社会化救援队伍建设</w:t>
      </w:r>
      <w:r>
        <w:rPr>
          <w:rFonts w:hint="eastAsia" w:ascii="仿宋_GB2312" w:hAnsi="仿宋_GB2312" w:eastAsia="仿宋_GB2312" w:cs="仿宋_GB2312"/>
          <w:sz w:val="32"/>
          <w:szCs w:val="32"/>
        </w:rPr>
        <w:t>，提升技术装备水平和快速反应能力。</w:t>
      </w:r>
      <w:r>
        <w:rPr>
          <w:rFonts w:hint="eastAsia" w:ascii="仿宋_GB2312" w:hAnsi="仿宋_GB2312" w:eastAsia="仿宋_GB2312" w:cs="仿宋_GB2312"/>
          <w:sz w:val="32"/>
          <w:szCs w:val="32"/>
          <w:lang w:eastAsia="zh-CN"/>
        </w:rPr>
        <w:t>强化防灾减灾宣传，完善公共服务职能，规划建设青少年防灾减灾科普宣教基地。</w:t>
      </w:r>
      <w:r>
        <w:rPr>
          <w:rFonts w:hint="eastAsia" w:ascii="仿宋_GB2312" w:hAnsi="仿宋_GB2312" w:eastAsia="仿宋_GB2312" w:cs="仿宋_GB2312"/>
          <w:sz w:val="32"/>
          <w:szCs w:val="32"/>
        </w:rPr>
        <w:t>加强人防工程建设，优化布局，充分利用地上地下空间资源，完善城市避难场所。</w:t>
      </w:r>
    </w:p>
    <w:p>
      <w:pPr>
        <w:keepNext w:val="0"/>
        <w:keepLines w:val="0"/>
        <w:pageBreakBefore w:val="0"/>
        <w:widowControl w:val="0"/>
        <w:kinsoku/>
        <w:wordWrap/>
        <w:overflowPunct/>
        <w:topLinePunct w:val="0"/>
        <w:autoSpaceDE/>
        <w:autoSpaceDN/>
        <w:bidi w:val="0"/>
        <w:adjustRightInd/>
        <w:snapToGrid/>
        <w:spacing w:before="157" w:beforeLines="50" w:after="157" w:afterLines="50" w:line="600" w:lineRule="exact"/>
        <w:jc w:val="center"/>
        <w:textAlignment w:val="auto"/>
        <w:outlineLvl w:val="0"/>
        <w:rPr>
          <w:rFonts w:hint="eastAsia" w:ascii="黑体" w:hAnsi="黑体" w:eastAsia="黑体" w:cs="黑体"/>
          <w:sz w:val="32"/>
          <w:szCs w:val="32"/>
        </w:rPr>
      </w:pPr>
      <w:bookmarkStart w:id="423" w:name="_Toc77152256"/>
      <w:bookmarkStart w:id="424" w:name="_Toc16300"/>
      <w:r>
        <w:rPr>
          <w:rFonts w:hint="eastAsia" w:ascii="黑体" w:hAnsi="黑体" w:eastAsia="黑体" w:cs="黑体"/>
          <w:sz w:val="32"/>
          <w:szCs w:val="32"/>
        </w:rPr>
        <w:t>第十三篇   强化规划实施保障</w:t>
      </w:r>
      <w:bookmarkEnd w:id="423"/>
      <w:bookmarkEnd w:id="424"/>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党对经济工作的全面领导，推进社会主义政治建设，持续营造学的氛围、严的氛围、干的氛围，更好地统一思想、凝聚共识，完善组织保障、制度保障、资源要素保障，健全规划实施监测评估协调机制，形成现代化建设的强大合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25" w:name="_Toc77152257"/>
      <w:bookmarkStart w:id="426" w:name="_Toc7485"/>
      <w:r>
        <w:rPr>
          <w:rFonts w:hint="eastAsia" w:ascii="黑体" w:hAnsi="黑体" w:eastAsia="黑体" w:cs="黑体"/>
          <w:sz w:val="32"/>
          <w:szCs w:val="32"/>
        </w:rPr>
        <w:t>第五十三章  坚决维护党中央权威和集中统一领导</w:t>
      </w:r>
      <w:bookmarkEnd w:id="425"/>
      <w:bookmarkEnd w:id="426"/>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落实全面从严治党主体责任、监督责任，以政治建设为统领，加强根本建设、基础建设、长远建设，提高党的建设质量。坚持立根铸魂，巩固深化“不忘初心、牢记使命”主题教育成果，贯通运用“五种学习方式”，推动广大党员干部深入学习贯彻习近平新时代中国特色社会主义思想，增强“四个意识”、坚定“四个自信”、做到“两个维护”，确保习近平总书记重大要求和党中央决策部署落到实处。加强组织建设，坚持抓在平时、用在战时，持续大抓基层、大抓基础，把各级党委（党组）建设成为坚决听从党中央指挥、管理严格、监督有力、班子团结、风气纯正的坚强组织，把基层党组织建设成为宣传党的主张、贯彻党的决定、领导基层治理、团结动员群众、推动改革发展的坚强战斗堡垒，形成上下贯通、执行有力的组织体系。坚持严的主基调，锲而不舍落实中央八项规定精神，持续纠治形式主义、官僚主义，强化对公权力运行的制约和监督，深化“以案促改”，一体推进不敢腐、不能腐、不想腐，涵养风清气正的良好政治生态。</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27" w:name="_Toc77152258"/>
      <w:bookmarkStart w:id="428" w:name="_Toc9532"/>
      <w:r>
        <w:rPr>
          <w:rFonts w:hint="eastAsia" w:ascii="黑体" w:hAnsi="黑体" w:eastAsia="黑体" w:cs="黑体"/>
          <w:sz w:val="32"/>
          <w:szCs w:val="32"/>
        </w:rPr>
        <w:t>第五十四章  推进社会主义政治建设</w:t>
      </w:r>
      <w:bookmarkEnd w:id="427"/>
      <w:bookmarkEnd w:id="428"/>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领导、人民当家作主、依法治国有机统一，坚定不移走中国特色社会主义政治发展道路，巩固和发展生动活泼、安定团结的政治局面。坚持和完善人民代表大会制度，加强人大对“一府一委两院”的监督，保障人民依法通过各种途径和形式管理国家事务、管理经济文化事业、管理社会事务。坚持和完善中国共产党领导的多党合作和政治协商制度，加强人民政协专门协商机构建设，发挥社会主义协商民主独特优势，提高建言资政和凝聚共识水平。全面贯彻党的民族政策，铸牢中华民族共同体意识。全面贯彻党的宗教工作基本方针，积极引导宗教与社会主义社会相适应。发挥工会、共青团、妇联等人民团体作用，把各自联系的群众紧紧团结在党的周围。完善大统战工作格局，画出团结奋斗、共谋出彩的最大同心圆。全面贯彻党的侨务政策，凝聚侨心、服务大局。自觉服从服务国防军队建设，加强双拥工作，强化全民国防教育，巩固军政军民团结。深入践行习近平法治思想，一体推进法治商水、法治政府、法治社会建设，提高依法行政水平，促进司法公正，弘扬社会主义法治精神，有效发挥法治固根本、稳预期、利长远的保障作用。</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29" w:name="_Toc77152259"/>
      <w:bookmarkStart w:id="430" w:name="_Toc2717"/>
      <w:r>
        <w:rPr>
          <w:rFonts w:hint="eastAsia" w:ascii="黑体" w:hAnsi="黑体" w:eastAsia="黑体" w:cs="黑体"/>
          <w:sz w:val="32"/>
          <w:szCs w:val="32"/>
        </w:rPr>
        <w:t>第五十五章  建设高素质专业化干部队伍</w:t>
      </w:r>
      <w:bookmarkEnd w:id="429"/>
      <w:bookmarkEnd w:id="430"/>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面贯彻新时代党的组织路线，落实好干部标准，严把政治关、廉洁关和素质能力关，以正确用人导向引领干事创业导向。强化素质能力建设，优化干部队伍结构，加强教育培训和实践锻炼，提高各级领导班子和干部适应新时代新要求抓改革、促发展、保稳定水平和专业化能力。健全激励和保护机制，为勇于负责的干部负责、为勇于担当的干部担当、为敢抓敢管的干部撑腰。为基层减负赋能，在政策、待遇等方面给予更多倾斜，关心关爱基层干部，让他们安心安身安业。完善人才工作体系，培养造就大批德才兼备的高素质人才。</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31" w:name="_Toc77152260"/>
      <w:bookmarkStart w:id="432" w:name="_Toc1043"/>
      <w:r>
        <w:rPr>
          <w:rFonts w:hint="eastAsia" w:ascii="黑体" w:hAnsi="黑体" w:eastAsia="黑体" w:cs="黑体"/>
          <w:sz w:val="32"/>
          <w:szCs w:val="32"/>
        </w:rPr>
        <w:t>第五十六章  走好新时代群众路线</w:t>
      </w:r>
      <w:bookmarkEnd w:id="431"/>
      <w:bookmarkEnd w:id="432"/>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群众立场，从群众关心的事情做起，从群众期盼的事情抓起，在不断造福群众中赢得民意民心。坚持植根群众，完善党员干部联系群众制度，多到基层去、多到群众中去，问需于民、问计于民，在密切联系群众中汲取智慧力量。坚持人民主体地位，激发人民的积极性、主动性，尊重群众首创精神，引导全县上下热爱商水、建设商水、奉献商水，在广泛动员群众中凝聚发展合力。</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33" w:name="_Toc77152261"/>
      <w:bookmarkStart w:id="434" w:name="_Toc23027"/>
      <w:bookmarkStart w:id="435" w:name="_Toc30163"/>
      <w:r>
        <w:rPr>
          <w:rFonts w:hint="eastAsia" w:ascii="黑体" w:hAnsi="黑体" w:eastAsia="黑体" w:cs="黑体"/>
          <w:sz w:val="32"/>
          <w:szCs w:val="32"/>
        </w:rPr>
        <w:t>第五十七章  强化重大项目建设要素保障</w:t>
      </w:r>
      <w:bookmarkEnd w:id="433"/>
      <w:bookmarkEnd w:id="434"/>
      <w:bookmarkEnd w:id="435"/>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集中力量抓实抓好</w:t>
      </w:r>
      <w:r>
        <w:rPr>
          <w:rFonts w:hint="eastAsia" w:ascii="仿宋_GB2312" w:hAnsi="仿宋_GB2312" w:eastAsia="仿宋_GB2312" w:cs="仿宋_GB2312"/>
          <w:sz w:val="32"/>
          <w:szCs w:val="32"/>
          <w:lang w:eastAsia="zh-CN"/>
        </w:rPr>
        <w:t>“十四五”期间规划</w:t>
      </w:r>
      <w:r>
        <w:rPr>
          <w:rFonts w:hint="eastAsia" w:ascii="仿宋_GB2312" w:hAnsi="仿宋_GB2312" w:eastAsia="仿宋_GB2312" w:cs="仿宋_GB2312"/>
          <w:sz w:val="32"/>
          <w:szCs w:val="32"/>
        </w:rPr>
        <w:t>建设</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重大项目，抓紧分解细化到投资主体、责任单位、实施年限、年度任务、进度要求，形成工作专案，完善协调推动机制、责任考核机制、监测评估机制、激励约束机制，确保按时间节点高质量完成重大项目建设任务。按照项目落实规划、要素保障项目、改革激活要素的工作思路，充分发挥市场机制作用，明确政府主体责任，科学制定政策，合理有效配置公共资源，健全完善责任主体制度、评估监测制度、激励约束制度。对纳入“十四五”规划的重大工程项目、社会事业发展项目，要简化审批核准程序，强化用地、资金、技术、人才等各项要素保障。</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436" w:name="_Toc23993"/>
      <w:r>
        <w:rPr>
          <w:rFonts w:hint="eastAsia" w:ascii="仿宋_GB2312" w:hAnsi="仿宋_GB2312" w:eastAsia="仿宋_GB2312" w:cs="仿宋_GB2312"/>
          <w:sz w:val="32"/>
          <w:szCs w:val="32"/>
          <w:lang w:val="zh-CN"/>
        </w:rPr>
        <w:t>强化用地保障</w:t>
      </w:r>
      <w:bookmarkEnd w:id="436"/>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按照土地利用规划，统筹建设用地管理，合理布局各类用地。深化产业用地市场化配置改革，采取长期租赁、先租后让、弹性年期供应、作价出资（入股）等方式配置工业用地。探索增加混合产业用地供给。盘活土地存量资源，用好用活增减挂钩政策，完善腾退有偿调节制度，确保关乎全局、创新发展、增强后劲、保障民生的重点项目建设用地需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437" w:name="_Toc16122"/>
      <w:r>
        <w:rPr>
          <w:rFonts w:hint="eastAsia" w:ascii="仿宋_GB2312" w:hAnsi="仿宋_GB2312" w:eastAsia="仿宋_GB2312" w:cs="仿宋_GB2312"/>
          <w:sz w:val="32"/>
          <w:szCs w:val="32"/>
        </w:rPr>
        <w:t>加强投融资服务</w:t>
      </w:r>
      <w:bookmarkEnd w:id="437"/>
      <w:r>
        <w:rPr>
          <w:rFonts w:hint="eastAsia" w:ascii="仿宋_GB2312" w:hAnsi="仿宋_GB2312" w:eastAsia="仿宋_GB2312" w:cs="仿宋_GB2312"/>
          <w:sz w:val="32"/>
          <w:szCs w:val="32"/>
        </w:rPr>
        <w:t>。健全与商业银行和城商行的对接机制，建立完善基于大数据运用的融资对接平台，加强银企对接。鼓励金融机构强化金融产品和服务方式创新，支持实体经济发展。深化与国开行、农发行的合作，争取更多的中长期贷款支持。支持发展供应链金融和产业链融资，积极开展融资租赁业务。深化“银保合作”，探索仓单等作为风险释放手段的贷款融资方式，开展订单融资和应收账款融资业务。推进地方金融机构改革创新，完善治理结构，增强自身实力和管理水平，积极拓展业务。推动国有投融资公司经营机制创新，更好地承担重大项目投融资功能。运用土地扶持、配套设施建设补助、项目商业价值挖掘、优质资产套餐式开发等方式设定项目合理投资回报方案，吸引社会资本参与产业开发和基础设施建设。</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438" w:name="_Toc19342"/>
      <w:r>
        <w:rPr>
          <w:rFonts w:hint="eastAsia" w:ascii="仿宋_GB2312" w:hAnsi="仿宋_GB2312" w:eastAsia="仿宋_GB2312" w:cs="仿宋_GB2312"/>
          <w:sz w:val="32"/>
          <w:szCs w:val="32"/>
        </w:rPr>
        <w:t>强化人才和人力资源保障</w:t>
      </w:r>
      <w:bookmarkEnd w:id="438"/>
      <w:r>
        <w:rPr>
          <w:rFonts w:hint="eastAsia" w:ascii="仿宋_GB2312" w:hAnsi="仿宋_GB2312" w:eastAsia="仿宋_GB2312" w:cs="仿宋_GB2312"/>
          <w:sz w:val="32"/>
          <w:szCs w:val="32"/>
        </w:rPr>
        <w:t xml:space="preserve">。实施企业家培养计划，每年组织20名企业高级管理人员到大专院校学习进修或参加专业培训，开展企业高管管理创新、技术创新和资本运作创新论坛。建立“亲”、“清”政商关系，优化企业家干事创业环境。加强企业合法财产、专利技术、知识产权保护，维护企业家权益。支持机关事业单位干部职工发挥自身优势领办企业。大力引进企业家人才，壮大企业家队伍。实行更有效、更积极、更开放的人才引进政策，采用灵活弹性化方式，通过搭建协同创新平台、开放合作平台，拓展招引人才渠道，优化吸引、留住、成就人才的生态环境，依托科技型企业和创新机构平台，加快科技领军人才、高层次人才培养和人才团队、创新机构的引进。“十四五”期间，力争引进10名战略新兴产业领军人才，引进培养100名高技术人才，引进培养选拔500名教育和卫生系统优秀人才，培养农村各类实用性人才5000名，到 “十四五”末，争取专业技术人才总量达到2万人。  </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把大数据作为基础性战略资源，全面推进重点领域大数据高效采集、有效整合，加快建设大数据中心。依托政府数据统一共享交换平台，推进跨部门数据资源共享共用，推动政府信息系统和公共数据互联开放共享。深化政府数据和社会数据关联分析、融合利用，提高市场监管、社会治理和公共服务精准性和有效性。</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与国家、省、市汇报衔接，及时了解掌握国家政策导向，扎实做好项目前期工作，逐项落实地方配套资金和建设条件，积极争取上级部门在重大项目布局、两新一重、新兴产业链集群培育、要素保障，以及产业融合示范区、粮食生产核心区、农业科技示范园区、返乡创业示范区、农村综合改革试验区等示范试点方面给予资金扶持示范试点等方面的政策支持。</w:t>
      </w:r>
    </w:p>
    <w:p>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1"/>
        <w:rPr>
          <w:rFonts w:hint="eastAsia" w:ascii="黑体" w:hAnsi="黑体" w:eastAsia="黑体" w:cs="黑体"/>
          <w:sz w:val="32"/>
          <w:szCs w:val="32"/>
        </w:rPr>
      </w:pPr>
      <w:bookmarkStart w:id="439" w:name="_Toc77152262"/>
      <w:bookmarkStart w:id="440" w:name="_Toc7712"/>
      <w:bookmarkStart w:id="441" w:name="_Toc13662"/>
      <w:r>
        <w:rPr>
          <w:rFonts w:hint="eastAsia" w:ascii="黑体" w:hAnsi="黑体" w:eastAsia="黑体" w:cs="黑体"/>
          <w:sz w:val="32"/>
          <w:szCs w:val="32"/>
        </w:rPr>
        <w:t>第五十八章  汇聚规划实施的强大合力</w:t>
      </w:r>
      <w:bookmarkEnd w:id="439"/>
      <w:bookmarkEnd w:id="440"/>
      <w:bookmarkEnd w:id="441"/>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十四五”规划的统领作用。国土空间规划要细化落实“十四五”规划提出的国土空间开发保护要求，为重大战略任务和重大工程项目落地实施提供空间保障。在科技创新、基础设施、绿色转型、民生保障等领域编制一批专项规划，细化时间表和路线图。强化年度计划与“十四五”规划的衔接。将“十四五”规划确定的主要指标分解纳入年度指标体系并做好年度间综合平衡，确定年度工作重点，通过滚动实施确保五年目标任务如期实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各类政策对“十四五”规划实施的保障支撑作用。优化财政支出结构，加强年度预算与“十四五”规划实施的衔接协调，加大对创新示范平台、高新技术推广应用、公共卫生、创业就业等财政支持力度。积极利用政府地方债和PPP模式筹集建设资金。用好债券发行鼓励政策，积极申请发行政府一般债券，为城乡新型基建项目、生态环保项目、强弱项补短板项目筹集资金。创新财政资金扶持方式，设立产业创新发展基金，吸引金融机构和社会资本做大基金规模，充分发挥财政资金撬动作用，提高财政资金使用效率。加强对创业创新、示范试点、人才引进、开放合作政策引导，落实对实体经济减税降负、激活民营经济活力、促进科技成果转化等激励政策。对引进世界500强、中国500强企业等重大招商项目，按照“一事一议”制定推进方案和扶持政策。出台促进“5G+工业互联网”等新一代信息技术推广应用的相关政策，加大对利用5G技术进行工业互联网内网建设企业的奖补力度。完善支持企业智能化改造相关配套政策，健全服务保障机制。强化对污染防治、生态保护、自然资源开发利用、风险隐患防控等方面的约束性政策，完善责任追究和惩戒制度。着重运用价格、碳排放容量交易、用地与转移人口挂钩等经济手段公平配置公共资源，调节经济运行，提高政策效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强规划实施评估考核，对约束性指标和经济调节、市场监管、公共服务、生态环境保护等政府履责要求，要细化实施责任、严格跟踪考核机制。健全“年度监测分析—中期评估—总结评估”的规划评估体系，将评估结果作为改进政府工作和绩效考核的重要依据，并依法自觉接受人大监督，认真吸纳政协参政议政意见建议。进一步完善重点行业、重点企业和新增长点的监测体系，密切关注经济运行变化趋势，加强对经济形势的研判，认真分析企业生产经营状况和主要指标完成情况，着力提升经济运行监测分析水平，指导好产业发展。重点关注用电量、税收等先行指标的变化情况，深入查找经济运行中的新情况、新特点、新问题，及时制定对策措施，切实增强运行调节的前瞻性和精准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规划提出的预期性指标和改革发展安全重大任务，主要依靠市场主体作用，同时发挥好政府作用。要激发全县人民参与规划实施的主人翁意识，充分发挥社会各界的积极性、主动性和创造性，支持工会、工商联、共青团、妇联、残联、科协等社会组织、民主党派和行业协会为经济社会发展出谋献策，贡献力量，凝聚人民群众的合力和智慧，形成群策群力、同心同德、共建共享现代化新商水的生动局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zh-CN"/>
        </w:rPr>
      </w:pPr>
      <w:r>
        <w:rPr>
          <w:rFonts w:hint="eastAsia" w:ascii="仿宋_GB2312" w:hAnsi="仿宋_GB2312" w:eastAsia="仿宋_GB2312" w:cs="仿宋_GB2312"/>
          <w:sz w:val="32"/>
          <w:szCs w:val="32"/>
        </w:rPr>
        <w:t>实现“十四五”规划发展目标，前景光明，任务繁重。各级党委、政府和全县人民要高举习近平新时代中国特色社会主义思想伟大旗帜，开拓创新、顽强拼搏，为夺取现代化建设新胜利而努力奋斗！</w:t>
      </w:r>
    </w:p>
    <w:sectPr>
      <w:footerReference r:id="rId4" w:type="default"/>
      <w:pgSz w:w="11906" w:h="16838"/>
      <w:pgMar w:top="1984" w:right="1587" w:bottom="1701" w:left="1587" w:header="851" w:footer="1304" w:gutter="0"/>
      <w:paperSrc/>
      <w:pgNumType w:fmt="decimal" w:start="1"/>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roman"/>
    <w:pitch w:val="default"/>
    <w:sig w:usb0="A00002EF" w:usb1="4000207B" w:usb2="00000000" w:usb3="00000000" w:csb0="2000019F" w:csb1="00000000"/>
  </w:font>
  <w:font w:name="Cambria">
    <w:panose1 w:val="020405030504060A0204"/>
    <w:charset w:val="00"/>
    <w:family w:val="roman"/>
    <w:pitch w:val="default"/>
    <w:sig w:usb0="E00002FF" w:usb1="4000045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大标宋简体">
    <w:panose1 w:val="03000509000000000000"/>
    <w:charset w:val="86"/>
    <w:family w:val="auto"/>
    <w:pitch w:val="default"/>
    <w:sig w:usb0="00000001" w:usb1="080E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right"/>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7"/>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- 3 -</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17"/>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- 3 -</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p>
                </w:txbxContent>
              </v:textbox>
            </v:shape>
          </w:pict>
        </mc:Fallback>
      </mc:AlternateContent>
    </w:r>
    <w:sdt>
      <w:sdtPr>
        <w:id w:val="524683030"/>
        <w:showingPlcHdr/>
      </w:sdtPr>
      <w:sdtContent>
        <w:r>
          <w:t xml:space="preserve">     </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rPr>
        <w:rFonts w:hint="eastAsia"/>
      </w:rPr>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7"/>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- 1 -</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7"/>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- 1 -</w:t>
                    </w:r>
                    <w:r>
                      <w:rPr>
                        <w:rFonts w:hint="eastAsia" w:ascii="仿宋_GB2312" w:hAnsi="仿宋_GB2312" w:eastAsia="仿宋_GB2312" w:cs="仿宋_GB2312"/>
                        <w:sz w:val="28"/>
                        <w:szCs w:val="28"/>
                        <w:lang w:eastAsia="zh-CN"/>
                      </w:rPr>
                      <w:fldChar w:fldCharType="end"/>
                    </w:r>
                    <w:r>
                      <w:rPr>
                        <w:rFonts w:hint="eastAsia" w:ascii="仿宋_GB2312" w:hAnsi="仿宋_GB2312" w:eastAsia="仿宋_GB2312" w:cs="仿宋_GB2312"/>
                        <w:sz w:val="28"/>
                        <w:szCs w:val="28"/>
                        <w:lang w:val="en-US" w:eastAsia="zh-CN"/>
                      </w:rPr>
                      <w:t xml:space="preserve"> —</w:t>
                    </w:r>
                  </w:p>
                </w:txbxContent>
              </v:textbox>
            </v:shape>
          </w:pict>
        </mc:Fallback>
      </mc:AlternateContent>
    </w:r>
  </w:p>
  <w:p>
    <w:pPr>
      <w:pStyle w:val="17"/>
      <w:jc w:val="right"/>
      <w:rPr>
        <w:rFonts w:hint="eastAsi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367467"/>
    <w:multiLevelType w:val="multilevel"/>
    <w:tmpl w:val="0D367467"/>
    <w:lvl w:ilvl="0" w:tentative="0">
      <w:start w:val="1"/>
      <w:numFmt w:val="decimal"/>
      <w:pStyle w:val="56"/>
      <w:isLgl/>
      <w:lvlText w:val="1.%1"/>
      <w:lvlJc w:val="left"/>
      <w:pPr>
        <w:ind w:left="420" w:hanging="420"/>
      </w:pPr>
      <w:rPr>
        <w:rFonts w:hint="eastAsia"/>
        <w:i w:val="0"/>
        <w:iCs w:val="0"/>
        <w:caps w:val="0"/>
        <w:smallCaps w:val="0"/>
        <w:strike w:val="0"/>
        <w:dstrike w:val="0"/>
        <w:vanish w:val="0"/>
        <w:spacing w:val="0"/>
        <w:position w:val="0"/>
        <w:u w:val="none"/>
        <w:vertAlign w:val="baseline"/>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225"/>
    <w:rsid w:val="00000371"/>
    <w:rsid w:val="00000DFA"/>
    <w:rsid w:val="0000259A"/>
    <w:rsid w:val="00002B0E"/>
    <w:rsid w:val="00002DCE"/>
    <w:rsid w:val="00003C80"/>
    <w:rsid w:val="000108EA"/>
    <w:rsid w:val="00010F62"/>
    <w:rsid w:val="0001509A"/>
    <w:rsid w:val="0001512F"/>
    <w:rsid w:val="00015219"/>
    <w:rsid w:val="00015B5A"/>
    <w:rsid w:val="00015CFF"/>
    <w:rsid w:val="00020A7A"/>
    <w:rsid w:val="00031172"/>
    <w:rsid w:val="00031F1B"/>
    <w:rsid w:val="00032273"/>
    <w:rsid w:val="0003338C"/>
    <w:rsid w:val="000354A0"/>
    <w:rsid w:val="0003741D"/>
    <w:rsid w:val="00041BA1"/>
    <w:rsid w:val="00045ED8"/>
    <w:rsid w:val="00046B64"/>
    <w:rsid w:val="00051827"/>
    <w:rsid w:val="000521B1"/>
    <w:rsid w:val="000526E4"/>
    <w:rsid w:val="000549FB"/>
    <w:rsid w:val="00054B96"/>
    <w:rsid w:val="000554B4"/>
    <w:rsid w:val="00055870"/>
    <w:rsid w:val="00055A5F"/>
    <w:rsid w:val="00061C11"/>
    <w:rsid w:val="000648A7"/>
    <w:rsid w:val="0006538C"/>
    <w:rsid w:val="0006582C"/>
    <w:rsid w:val="00065831"/>
    <w:rsid w:val="000665DA"/>
    <w:rsid w:val="0007034E"/>
    <w:rsid w:val="00070358"/>
    <w:rsid w:val="00071658"/>
    <w:rsid w:val="00075D29"/>
    <w:rsid w:val="0007629B"/>
    <w:rsid w:val="000774AA"/>
    <w:rsid w:val="00077828"/>
    <w:rsid w:val="0008173A"/>
    <w:rsid w:val="00081BA2"/>
    <w:rsid w:val="00082E83"/>
    <w:rsid w:val="00085DA8"/>
    <w:rsid w:val="00087AD6"/>
    <w:rsid w:val="00087B76"/>
    <w:rsid w:val="00087F15"/>
    <w:rsid w:val="00090C6C"/>
    <w:rsid w:val="00092C23"/>
    <w:rsid w:val="00092F44"/>
    <w:rsid w:val="00095082"/>
    <w:rsid w:val="00097819"/>
    <w:rsid w:val="000A1A24"/>
    <w:rsid w:val="000A2BFF"/>
    <w:rsid w:val="000A2F99"/>
    <w:rsid w:val="000A3277"/>
    <w:rsid w:val="000A359B"/>
    <w:rsid w:val="000A4C8D"/>
    <w:rsid w:val="000A5B77"/>
    <w:rsid w:val="000A5DFD"/>
    <w:rsid w:val="000A6E23"/>
    <w:rsid w:val="000A6FBC"/>
    <w:rsid w:val="000A7708"/>
    <w:rsid w:val="000B0E6E"/>
    <w:rsid w:val="000B3158"/>
    <w:rsid w:val="000B359C"/>
    <w:rsid w:val="000B4DCC"/>
    <w:rsid w:val="000B4F2E"/>
    <w:rsid w:val="000B644C"/>
    <w:rsid w:val="000C08AF"/>
    <w:rsid w:val="000C2C68"/>
    <w:rsid w:val="000C3F42"/>
    <w:rsid w:val="000D1814"/>
    <w:rsid w:val="000D467A"/>
    <w:rsid w:val="000D5CF6"/>
    <w:rsid w:val="000D74FA"/>
    <w:rsid w:val="000E1476"/>
    <w:rsid w:val="000E2DD8"/>
    <w:rsid w:val="000E3FF3"/>
    <w:rsid w:val="000E47E5"/>
    <w:rsid w:val="000E4DBF"/>
    <w:rsid w:val="000E63AE"/>
    <w:rsid w:val="000E6A79"/>
    <w:rsid w:val="000E7179"/>
    <w:rsid w:val="000E72DB"/>
    <w:rsid w:val="000E738F"/>
    <w:rsid w:val="000F2667"/>
    <w:rsid w:val="000F3D93"/>
    <w:rsid w:val="000F4C1F"/>
    <w:rsid w:val="000F600D"/>
    <w:rsid w:val="000F61EF"/>
    <w:rsid w:val="0010042B"/>
    <w:rsid w:val="00100E3D"/>
    <w:rsid w:val="0010282D"/>
    <w:rsid w:val="001028F0"/>
    <w:rsid w:val="0010472C"/>
    <w:rsid w:val="00104A24"/>
    <w:rsid w:val="001059F3"/>
    <w:rsid w:val="00107371"/>
    <w:rsid w:val="00107758"/>
    <w:rsid w:val="00107C5E"/>
    <w:rsid w:val="0011059D"/>
    <w:rsid w:val="00113296"/>
    <w:rsid w:val="00115054"/>
    <w:rsid w:val="0011556C"/>
    <w:rsid w:val="001177FE"/>
    <w:rsid w:val="0011792F"/>
    <w:rsid w:val="001230B4"/>
    <w:rsid w:val="001231C3"/>
    <w:rsid w:val="001243AE"/>
    <w:rsid w:val="00125AB0"/>
    <w:rsid w:val="00126700"/>
    <w:rsid w:val="0013354B"/>
    <w:rsid w:val="00133B29"/>
    <w:rsid w:val="00136A1F"/>
    <w:rsid w:val="00136D97"/>
    <w:rsid w:val="00137FBA"/>
    <w:rsid w:val="001429D4"/>
    <w:rsid w:val="00142A03"/>
    <w:rsid w:val="001459DF"/>
    <w:rsid w:val="00146868"/>
    <w:rsid w:val="00146C80"/>
    <w:rsid w:val="001517EB"/>
    <w:rsid w:val="00151890"/>
    <w:rsid w:val="001542E8"/>
    <w:rsid w:val="00154AEA"/>
    <w:rsid w:val="00156D59"/>
    <w:rsid w:val="00157E54"/>
    <w:rsid w:val="00157EEE"/>
    <w:rsid w:val="00160AE9"/>
    <w:rsid w:val="00161B97"/>
    <w:rsid w:val="001646D0"/>
    <w:rsid w:val="001653F1"/>
    <w:rsid w:val="00165440"/>
    <w:rsid w:val="0017166E"/>
    <w:rsid w:val="00172302"/>
    <w:rsid w:val="00172929"/>
    <w:rsid w:val="0017395E"/>
    <w:rsid w:val="00175A04"/>
    <w:rsid w:val="001767B5"/>
    <w:rsid w:val="00181153"/>
    <w:rsid w:val="00183E43"/>
    <w:rsid w:val="00184153"/>
    <w:rsid w:val="00185370"/>
    <w:rsid w:val="001860E5"/>
    <w:rsid w:val="00186978"/>
    <w:rsid w:val="001909AA"/>
    <w:rsid w:val="00194B00"/>
    <w:rsid w:val="00196A5B"/>
    <w:rsid w:val="001A047C"/>
    <w:rsid w:val="001A2081"/>
    <w:rsid w:val="001A336A"/>
    <w:rsid w:val="001A3E03"/>
    <w:rsid w:val="001B2546"/>
    <w:rsid w:val="001B37E9"/>
    <w:rsid w:val="001B4224"/>
    <w:rsid w:val="001B56F3"/>
    <w:rsid w:val="001B5A7A"/>
    <w:rsid w:val="001B6824"/>
    <w:rsid w:val="001C1FD6"/>
    <w:rsid w:val="001C1FE4"/>
    <w:rsid w:val="001C299F"/>
    <w:rsid w:val="001C3277"/>
    <w:rsid w:val="001C3493"/>
    <w:rsid w:val="001C36DD"/>
    <w:rsid w:val="001C3B89"/>
    <w:rsid w:val="001C4684"/>
    <w:rsid w:val="001C491B"/>
    <w:rsid w:val="001C5F55"/>
    <w:rsid w:val="001D04B3"/>
    <w:rsid w:val="001D0A65"/>
    <w:rsid w:val="001D29CA"/>
    <w:rsid w:val="001D3EA8"/>
    <w:rsid w:val="001D4B89"/>
    <w:rsid w:val="001D583A"/>
    <w:rsid w:val="001D73C3"/>
    <w:rsid w:val="001E0977"/>
    <w:rsid w:val="001E114F"/>
    <w:rsid w:val="001E2BBA"/>
    <w:rsid w:val="001E443A"/>
    <w:rsid w:val="001E4A28"/>
    <w:rsid w:val="001E4CF8"/>
    <w:rsid w:val="001E5E70"/>
    <w:rsid w:val="001E6E8B"/>
    <w:rsid w:val="001E7472"/>
    <w:rsid w:val="001F1210"/>
    <w:rsid w:val="001F13C8"/>
    <w:rsid w:val="001F3826"/>
    <w:rsid w:val="001F415D"/>
    <w:rsid w:val="001F4A0C"/>
    <w:rsid w:val="001F506A"/>
    <w:rsid w:val="001F5C73"/>
    <w:rsid w:val="001F5CA3"/>
    <w:rsid w:val="001F7AAB"/>
    <w:rsid w:val="00200279"/>
    <w:rsid w:val="00200BC3"/>
    <w:rsid w:val="002038EB"/>
    <w:rsid w:val="00203A5A"/>
    <w:rsid w:val="0020606F"/>
    <w:rsid w:val="00206BB1"/>
    <w:rsid w:val="002123DC"/>
    <w:rsid w:val="002152EF"/>
    <w:rsid w:val="00220EEF"/>
    <w:rsid w:val="002211C5"/>
    <w:rsid w:val="002212AB"/>
    <w:rsid w:val="0022187C"/>
    <w:rsid w:val="002218AF"/>
    <w:rsid w:val="00221D9C"/>
    <w:rsid w:val="002220EA"/>
    <w:rsid w:val="00222686"/>
    <w:rsid w:val="00225558"/>
    <w:rsid w:val="00230100"/>
    <w:rsid w:val="00230FA6"/>
    <w:rsid w:val="0023355B"/>
    <w:rsid w:val="002401B0"/>
    <w:rsid w:val="0024071B"/>
    <w:rsid w:val="00240CCE"/>
    <w:rsid w:val="00240E03"/>
    <w:rsid w:val="00241A8C"/>
    <w:rsid w:val="00241BA7"/>
    <w:rsid w:val="00244B5D"/>
    <w:rsid w:val="00244E7F"/>
    <w:rsid w:val="00244ED4"/>
    <w:rsid w:val="0024566B"/>
    <w:rsid w:val="00245ECE"/>
    <w:rsid w:val="002513A4"/>
    <w:rsid w:val="002517C3"/>
    <w:rsid w:val="002533FF"/>
    <w:rsid w:val="0025596C"/>
    <w:rsid w:val="002562E5"/>
    <w:rsid w:val="002575A4"/>
    <w:rsid w:val="0026029A"/>
    <w:rsid w:val="00265765"/>
    <w:rsid w:val="002720A3"/>
    <w:rsid w:val="00272EC4"/>
    <w:rsid w:val="00274C33"/>
    <w:rsid w:val="002752CB"/>
    <w:rsid w:val="0027757A"/>
    <w:rsid w:val="002806CD"/>
    <w:rsid w:val="002808ED"/>
    <w:rsid w:val="00284E39"/>
    <w:rsid w:val="002855C0"/>
    <w:rsid w:val="002928E3"/>
    <w:rsid w:val="00293465"/>
    <w:rsid w:val="00295D91"/>
    <w:rsid w:val="00297C65"/>
    <w:rsid w:val="002A188B"/>
    <w:rsid w:val="002A26EB"/>
    <w:rsid w:val="002A2777"/>
    <w:rsid w:val="002A32D7"/>
    <w:rsid w:val="002A540A"/>
    <w:rsid w:val="002B0198"/>
    <w:rsid w:val="002B0519"/>
    <w:rsid w:val="002B11C9"/>
    <w:rsid w:val="002B1D56"/>
    <w:rsid w:val="002B1F81"/>
    <w:rsid w:val="002B28C8"/>
    <w:rsid w:val="002B3FEF"/>
    <w:rsid w:val="002B3FF3"/>
    <w:rsid w:val="002B52DA"/>
    <w:rsid w:val="002B6A21"/>
    <w:rsid w:val="002B7BB7"/>
    <w:rsid w:val="002C00BB"/>
    <w:rsid w:val="002C033B"/>
    <w:rsid w:val="002C0AB3"/>
    <w:rsid w:val="002C1FA8"/>
    <w:rsid w:val="002C2BFB"/>
    <w:rsid w:val="002C3385"/>
    <w:rsid w:val="002C3654"/>
    <w:rsid w:val="002C7B45"/>
    <w:rsid w:val="002D1850"/>
    <w:rsid w:val="002D1A58"/>
    <w:rsid w:val="002D6388"/>
    <w:rsid w:val="002D6882"/>
    <w:rsid w:val="002D7BFE"/>
    <w:rsid w:val="002E3C15"/>
    <w:rsid w:val="002E648A"/>
    <w:rsid w:val="002E6C42"/>
    <w:rsid w:val="002F5FB5"/>
    <w:rsid w:val="00300DFD"/>
    <w:rsid w:val="003019CE"/>
    <w:rsid w:val="00302006"/>
    <w:rsid w:val="00304A22"/>
    <w:rsid w:val="00304B31"/>
    <w:rsid w:val="00304B51"/>
    <w:rsid w:val="0030549F"/>
    <w:rsid w:val="003061FC"/>
    <w:rsid w:val="003067AE"/>
    <w:rsid w:val="003110E6"/>
    <w:rsid w:val="00312179"/>
    <w:rsid w:val="003135CC"/>
    <w:rsid w:val="003143C4"/>
    <w:rsid w:val="00315FB5"/>
    <w:rsid w:val="0031743A"/>
    <w:rsid w:val="003202E0"/>
    <w:rsid w:val="00320F15"/>
    <w:rsid w:val="003211FF"/>
    <w:rsid w:val="00321F85"/>
    <w:rsid w:val="003238B8"/>
    <w:rsid w:val="0032446B"/>
    <w:rsid w:val="003246AF"/>
    <w:rsid w:val="00326AD3"/>
    <w:rsid w:val="003306CA"/>
    <w:rsid w:val="00331418"/>
    <w:rsid w:val="00332C68"/>
    <w:rsid w:val="003364DE"/>
    <w:rsid w:val="00336F36"/>
    <w:rsid w:val="00341E45"/>
    <w:rsid w:val="00345C8B"/>
    <w:rsid w:val="0034648A"/>
    <w:rsid w:val="00346CC4"/>
    <w:rsid w:val="0034760E"/>
    <w:rsid w:val="003528A1"/>
    <w:rsid w:val="003532B0"/>
    <w:rsid w:val="00354639"/>
    <w:rsid w:val="00355008"/>
    <w:rsid w:val="00356C8B"/>
    <w:rsid w:val="00360EF5"/>
    <w:rsid w:val="00361266"/>
    <w:rsid w:val="00363C19"/>
    <w:rsid w:val="00363D8F"/>
    <w:rsid w:val="0036573F"/>
    <w:rsid w:val="00366B64"/>
    <w:rsid w:val="00373F0D"/>
    <w:rsid w:val="00376095"/>
    <w:rsid w:val="0037735D"/>
    <w:rsid w:val="0037760B"/>
    <w:rsid w:val="003804DD"/>
    <w:rsid w:val="003808C5"/>
    <w:rsid w:val="00381721"/>
    <w:rsid w:val="0038282F"/>
    <w:rsid w:val="00382DC5"/>
    <w:rsid w:val="00384303"/>
    <w:rsid w:val="00387FB9"/>
    <w:rsid w:val="0039039E"/>
    <w:rsid w:val="0039184C"/>
    <w:rsid w:val="00391B1B"/>
    <w:rsid w:val="0039447A"/>
    <w:rsid w:val="003952C5"/>
    <w:rsid w:val="003956E6"/>
    <w:rsid w:val="00395B42"/>
    <w:rsid w:val="00396509"/>
    <w:rsid w:val="00397754"/>
    <w:rsid w:val="003A3939"/>
    <w:rsid w:val="003A659C"/>
    <w:rsid w:val="003B0B35"/>
    <w:rsid w:val="003B4F08"/>
    <w:rsid w:val="003B6461"/>
    <w:rsid w:val="003B6E59"/>
    <w:rsid w:val="003C0896"/>
    <w:rsid w:val="003C1141"/>
    <w:rsid w:val="003C24D1"/>
    <w:rsid w:val="003C2E6F"/>
    <w:rsid w:val="003C35D3"/>
    <w:rsid w:val="003C3676"/>
    <w:rsid w:val="003C75DB"/>
    <w:rsid w:val="003D2163"/>
    <w:rsid w:val="003D4123"/>
    <w:rsid w:val="003D568A"/>
    <w:rsid w:val="003E1217"/>
    <w:rsid w:val="003E2639"/>
    <w:rsid w:val="003E532D"/>
    <w:rsid w:val="003E5641"/>
    <w:rsid w:val="003E6D48"/>
    <w:rsid w:val="003E71F9"/>
    <w:rsid w:val="003E75F5"/>
    <w:rsid w:val="003E763C"/>
    <w:rsid w:val="003F0C7F"/>
    <w:rsid w:val="003F3CED"/>
    <w:rsid w:val="003F41DE"/>
    <w:rsid w:val="003F5A1D"/>
    <w:rsid w:val="003F64E0"/>
    <w:rsid w:val="004003A7"/>
    <w:rsid w:val="00404A60"/>
    <w:rsid w:val="0040515E"/>
    <w:rsid w:val="004066CB"/>
    <w:rsid w:val="00407EB0"/>
    <w:rsid w:val="00411261"/>
    <w:rsid w:val="00411320"/>
    <w:rsid w:val="00412CFF"/>
    <w:rsid w:val="0041498D"/>
    <w:rsid w:val="00415F3A"/>
    <w:rsid w:val="004166DC"/>
    <w:rsid w:val="0041693C"/>
    <w:rsid w:val="0042042E"/>
    <w:rsid w:val="0042078F"/>
    <w:rsid w:val="00420FAA"/>
    <w:rsid w:val="004222A3"/>
    <w:rsid w:val="00422EF6"/>
    <w:rsid w:val="00423FBF"/>
    <w:rsid w:val="004245A6"/>
    <w:rsid w:val="00424D29"/>
    <w:rsid w:val="004267FC"/>
    <w:rsid w:val="00430C93"/>
    <w:rsid w:val="00431AB6"/>
    <w:rsid w:val="00431D88"/>
    <w:rsid w:val="0043671D"/>
    <w:rsid w:val="00443254"/>
    <w:rsid w:val="004433E7"/>
    <w:rsid w:val="00443F78"/>
    <w:rsid w:val="00446C82"/>
    <w:rsid w:val="004521D5"/>
    <w:rsid w:val="004543D3"/>
    <w:rsid w:val="00455092"/>
    <w:rsid w:val="00457FE3"/>
    <w:rsid w:val="0046238E"/>
    <w:rsid w:val="00462406"/>
    <w:rsid w:val="00465673"/>
    <w:rsid w:val="00467FA7"/>
    <w:rsid w:val="00472CA4"/>
    <w:rsid w:val="00474D25"/>
    <w:rsid w:val="0047512C"/>
    <w:rsid w:val="004761E8"/>
    <w:rsid w:val="004762A3"/>
    <w:rsid w:val="00480F35"/>
    <w:rsid w:val="00484BAF"/>
    <w:rsid w:val="00487BE8"/>
    <w:rsid w:val="00487EB6"/>
    <w:rsid w:val="00487F58"/>
    <w:rsid w:val="004900F1"/>
    <w:rsid w:val="0049012B"/>
    <w:rsid w:val="00492A0B"/>
    <w:rsid w:val="00495FC4"/>
    <w:rsid w:val="00496D87"/>
    <w:rsid w:val="004A0450"/>
    <w:rsid w:val="004A198C"/>
    <w:rsid w:val="004A30BE"/>
    <w:rsid w:val="004A3707"/>
    <w:rsid w:val="004A433C"/>
    <w:rsid w:val="004A74DB"/>
    <w:rsid w:val="004A78F5"/>
    <w:rsid w:val="004B170B"/>
    <w:rsid w:val="004B3865"/>
    <w:rsid w:val="004B3DF4"/>
    <w:rsid w:val="004B42B2"/>
    <w:rsid w:val="004B42C3"/>
    <w:rsid w:val="004B462B"/>
    <w:rsid w:val="004B5094"/>
    <w:rsid w:val="004B60C8"/>
    <w:rsid w:val="004B6122"/>
    <w:rsid w:val="004B6BB8"/>
    <w:rsid w:val="004C0762"/>
    <w:rsid w:val="004C23A7"/>
    <w:rsid w:val="004C3DE9"/>
    <w:rsid w:val="004C3F50"/>
    <w:rsid w:val="004C5600"/>
    <w:rsid w:val="004C6267"/>
    <w:rsid w:val="004C6C12"/>
    <w:rsid w:val="004C7385"/>
    <w:rsid w:val="004D0223"/>
    <w:rsid w:val="004D1F30"/>
    <w:rsid w:val="004D3392"/>
    <w:rsid w:val="004D3BC7"/>
    <w:rsid w:val="004D4658"/>
    <w:rsid w:val="004E2067"/>
    <w:rsid w:val="004E5001"/>
    <w:rsid w:val="004E64E2"/>
    <w:rsid w:val="004F0AA7"/>
    <w:rsid w:val="004F284D"/>
    <w:rsid w:val="004F2C24"/>
    <w:rsid w:val="004F3821"/>
    <w:rsid w:val="004F5178"/>
    <w:rsid w:val="004F5971"/>
    <w:rsid w:val="004F6588"/>
    <w:rsid w:val="004F66BB"/>
    <w:rsid w:val="0050022E"/>
    <w:rsid w:val="00501B7E"/>
    <w:rsid w:val="00501E38"/>
    <w:rsid w:val="00502FFF"/>
    <w:rsid w:val="00504494"/>
    <w:rsid w:val="00506DCF"/>
    <w:rsid w:val="00510A49"/>
    <w:rsid w:val="005115C7"/>
    <w:rsid w:val="00511D9B"/>
    <w:rsid w:val="00512E39"/>
    <w:rsid w:val="00513842"/>
    <w:rsid w:val="00514153"/>
    <w:rsid w:val="005162C5"/>
    <w:rsid w:val="00517B71"/>
    <w:rsid w:val="00517C0D"/>
    <w:rsid w:val="005203A7"/>
    <w:rsid w:val="00520BBF"/>
    <w:rsid w:val="005211C1"/>
    <w:rsid w:val="00522A31"/>
    <w:rsid w:val="005263E1"/>
    <w:rsid w:val="00526CAD"/>
    <w:rsid w:val="005338C0"/>
    <w:rsid w:val="00534B7D"/>
    <w:rsid w:val="00536A7D"/>
    <w:rsid w:val="005402B4"/>
    <w:rsid w:val="0054412F"/>
    <w:rsid w:val="00544E27"/>
    <w:rsid w:val="0054508A"/>
    <w:rsid w:val="00546BD9"/>
    <w:rsid w:val="005474F1"/>
    <w:rsid w:val="00547B1C"/>
    <w:rsid w:val="005533B3"/>
    <w:rsid w:val="00560272"/>
    <w:rsid w:val="00560861"/>
    <w:rsid w:val="005618C7"/>
    <w:rsid w:val="00562AC5"/>
    <w:rsid w:val="00564696"/>
    <w:rsid w:val="00565F37"/>
    <w:rsid w:val="00567C64"/>
    <w:rsid w:val="00567F89"/>
    <w:rsid w:val="00567FB3"/>
    <w:rsid w:val="00572CC5"/>
    <w:rsid w:val="00573536"/>
    <w:rsid w:val="00574E1B"/>
    <w:rsid w:val="00575127"/>
    <w:rsid w:val="00577AA5"/>
    <w:rsid w:val="00584BCC"/>
    <w:rsid w:val="00585455"/>
    <w:rsid w:val="00585C7A"/>
    <w:rsid w:val="00585FF5"/>
    <w:rsid w:val="00585FFF"/>
    <w:rsid w:val="0058689A"/>
    <w:rsid w:val="005874AB"/>
    <w:rsid w:val="00587985"/>
    <w:rsid w:val="0059229C"/>
    <w:rsid w:val="0059289A"/>
    <w:rsid w:val="00594140"/>
    <w:rsid w:val="00594C40"/>
    <w:rsid w:val="00595153"/>
    <w:rsid w:val="00595B16"/>
    <w:rsid w:val="00595EA1"/>
    <w:rsid w:val="00595F9B"/>
    <w:rsid w:val="0059683D"/>
    <w:rsid w:val="00596C32"/>
    <w:rsid w:val="00597627"/>
    <w:rsid w:val="00597807"/>
    <w:rsid w:val="00597D45"/>
    <w:rsid w:val="005A0B3B"/>
    <w:rsid w:val="005A0EBD"/>
    <w:rsid w:val="005A1FDF"/>
    <w:rsid w:val="005A23E0"/>
    <w:rsid w:val="005A3517"/>
    <w:rsid w:val="005A366C"/>
    <w:rsid w:val="005A49AA"/>
    <w:rsid w:val="005A5D6E"/>
    <w:rsid w:val="005A600C"/>
    <w:rsid w:val="005A7164"/>
    <w:rsid w:val="005A79BE"/>
    <w:rsid w:val="005B0645"/>
    <w:rsid w:val="005B097E"/>
    <w:rsid w:val="005B21D5"/>
    <w:rsid w:val="005B25DE"/>
    <w:rsid w:val="005B4275"/>
    <w:rsid w:val="005B5D1E"/>
    <w:rsid w:val="005C39EF"/>
    <w:rsid w:val="005C3AEA"/>
    <w:rsid w:val="005C3B13"/>
    <w:rsid w:val="005C508A"/>
    <w:rsid w:val="005C6AE1"/>
    <w:rsid w:val="005D1B03"/>
    <w:rsid w:val="005D1BC9"/>
    <w:rsid w:val="005D66DE"/>
    <w:rsid w:val="005D6E70"/>
    <w:rsid w:val="005E1901"/>
    <w:rsid w:val="005E27C3"/>
    <w:rsid w:val="005E2CC9"/>
    <w:rsid w:val="005E300F"/>
    <w:rsid w:val="005E7AFA"/>
    <w:rsid w:val="005E7C1E"/>
    <w:rsid w:val="005F15AF"/>
    <w:rsid w:val="005F1C9F"/>
    <w:rsid w:val="005F2941"/>
    <w:rsid w:val="005F52D6"/>
    <w:rsid w:val="005F6B9A"/>
    <w:rsid w:val="005F7AA7"/>
    <w:rsid w:val="006004CB"/>
    <w:rsid w:val="00605556"/>
    <w:rsid w:val="006072B2"/>
    <w:rsid w:val="006076C4"/>
    <w:rsid w:val="00607B1C"/>
    <w:rsid w:val="00610FC1"/>
    <w:rsid w:val="006121F2"/>
    <w:rsid w:val="00612B05"/>
    <w:rsid w:val="006142CA"/>
    <w:rsid w:val="00615780"/>
    <w:rsid w:val="00620ACC"/>
    <w:rsid w:val="00621D8D"/>
    <w:rsid w:val="00622108"/>
    <w:rsid w:val="00622C13"/>
    <w:rsid w:val="006242ED"/>
    <w:rsid w:val="0062716F"/>
    <w:rsid w:val="00630FA9"/>
    <w:rsid w:val="00633D9C"/>
    <w:rsid w:val="006344D6"/>
    <w:rsid w:val="00634A45"/>
    <w:rsid w:val="00636A32"/>
    <w:rsid w:val="00637F29"/>
    <w:rsid w:val="006407D5"/>
    <w:rsid w:val="006434F4"/>
    <w:rsid w:val="00654360"/>
    <w:rsid w:val="00657625"/>
    <w:rsid w:val="0065779F"/>
    <w:rsid w:val="006600C8"/>
    <w:rsid w:val="0066549B"/>
    <w:rsid w:val="00665E7E"/>
    <w:rsid w:val="006705CF"/>
    <w:rsid w:val="006727C1"/>
    <w:rsid w:val="00673915"/>
    <w:rsid w:val="006750DF"/>
    <w:rsid w:val="0067544F"/>
    <w:rsid w:val="006817FC"/>
    <w:rsid w:val="00682C9A"/>
    <w:rsid w:val="006830FC"/>
    <w:rsid w:val="00691CF1"/>
    <w:rsid w:val="00692B35"/>
    <w:rsid w:val="00697471"/>
    <w:rsid w:val="006975A5"/>
    <w:rsid w:val="00697779"/>
    <w:rsid w:val="006A1681"/>
    <w:rsid w:val="006A20C1"/>
    <w:rsid w:val="006A2CA3"/>
    <w:rsid w:val="006A4BCB"/>
    <w:rsid w:val="006A4FDF"/>
    <w:rsid w:val="006A51AF"/>
    <w:rsid w:val="006A5DB7"/>
    <w:rsid w:val="006A6312"/>
    <w:rsid w:val="006B46CF"/>
    <w:rsid w:val="006B53A5"/>
    <w:rsid w:val="006B65F5"/>
    <w:rsid w:val="006B6CF6"/>
    <w:rsid w:val="006C1BB1"/>
    <w:rsid w:val="006C1C03"/>
    <w:rsid w:val="006C29C6"/>
    <w:rsid w:val="006C4DE5"/>
    <w:rsid w:val="006C504D"/>
    <w:rsid w:val="006C51A0"/>
    <w:rsid w:val="006D04C9"/>
    <w:rsid w:val="006D0A46"/>
    <w:rsid w:val="006D1FE2"/>
    <w:rsid w:val="006D2818"/>
    <w:rsid w:val="006D35E0"/>
    <w:rsid w:val="006E0D9B"/>
    <w:rsid w:val="006E1BD4"/>
    <w:rsid w:val="006E2962"/>
    <w:rsid w:val="006E30F6"/>
    <w:rsid w:val="006E50A0"/>
    <w:rsid w:val="006E5964"/>
    <w:rsid w:val="006E62CA"/>
    <w:rsid w:val="006E7993"/>
    <w:rsid w:val="006F0C7D"/>
    <w:rsid w:val="006F0CC8"/>
    <w:rsid w:val="006F0DB9"/>
    <w:rsid w:val="006F187D"/>
    <w:rsid w:val="006F2C2B"/>
    <w:rsid w:val="006F33DD"/>
    <w:rsid w:val="006F3CEC"/>
    <w:rsid w:val="006F67A1"/>
    <w:rsid w:val="006F727F"/>
    <w:rsid w:val="00704817"/>
    <w:rsid w:val="00704BC8"/>
    <w:rsid w:val="00704EF9"/>
    <w:rsid w:val="00705CAA"/>
    <w:rsid w:val="007062EF"/>
    <w:rsid w:val="00706322"/>
    <w:rsid w:val="00706368"/>
    <w:rsid w:val="00710B7A"/>
    <w:rsid w:val="0071285B"/>
    <w:rsid w:val="00713A26"/>
    <w:rsid w:val="007140F7"/>
    <w:rsid w:val="00714A2A"/>
    <w:rsid w:val="00716CE3"/>
    <w:rsid w:val="00717212"/>
    <w:rsid w:val="00722FBA"/>
    <w:rsid w:val="0072395C"/>
    <w:rsid w:val="007259E9"/>
    <w:rsid w:val="00726792"/>
    <w:rsid w:val="00726D82"/>
    <w:rsid w:val="00733772"/>
    <w:rsid w:val="00734258"/>
    <w:rsid w:val="00734BDB"/>
    <w:rsid w:val="0073541D"/>
    <w:rsid w:val="007367D1"/>
    <w:rsid w:val="0074538F"/>
    <w:rsid w:val="00746AD5"/>
    <w:rsid w:val="007472D8"/>
    <w:rsid w:val="007500E3"/>
    <w:rsid w:val="00750423"/>
    <w:rsid w:val="00753204"/>
    <w:rsid w:val="007545B7"/>
    <w:rsid w:val="007546D5"/>
    <w:rsid w:val="0075592F"/>
    <w:rsid w:val="00755F7C"/>
    <w:rsid w:val="0075769D"/>
    <w:rsid w:val="007576AD"/>
    <w:rsid w:val="00765074"/>
    <w:rsid w:val="00771E7D"/>
    <w:rsid w:val="00772457"/>
    <w:rsid w:val="00772A8A"/>
    <w:rsid w:val="00772EB0"/>
    <w:rsid w:val="007731E4"/>
    <w:rsid w:val="00774535"/>
    <w:rsid w:val="007773AF"/>
    <w:rsid w:val="007775D8"/>
    <w:rsid w:val="007776ED"/>
    <w:rsid w:val="0077785A"/>
    <w:rsid w:val="00780BA2"/>
    <w:rsid w:val="00782052"/>
    <w:rsid w:val="00783101"/>
    <w:rsid w:val="00783503"/>
    <w:rsid w:val="00784FE0"/>
    <w:rsid w:val="00786CEE"/>
    <w:rsid w:val="00787888"/>
    <w:rsid w:val="007905F8"/>
    <w:rsid w:val="00791CBD"/>
    <w:rsid w:val="00791FFF"/>
    <w:rsid w:val="00792277"/>
    <w:rsid w:val="00792A9E"/>
    <w:rsid w:val="00793650"/>
    <w:rsid w:val="00793F41"/>
    <w:rsid w:val="007970B0"/>
    <w:rsid w:val="007A1184"/>
    <w:rsid w:val="007A3C6E"/>
    <w:rsid w:val="007A439B"/>
    <w:rsid w:val="007A4BAC"/>
    <w:rsid w:val="007B24AF"/>
    <w:rsid w:val="007B5A1B"/>
    <w:rsid w:val="007B5ADA"/>
    <w:rsid w:val="007B5DD1"/>
    <w:rsid w:val="007B7640"/>
    <w:rsid w:val="007C0594"/>
    <w:rsid w:val="007C1395"/>
    <w:rsid w:val="007C23B7"/>
    <w:rsid w:val="007C2A3C"/>
    <w:rsid w:val="007D11C2"/>
    <w:rsid w:val="007D14BA"/>
    <w:rsid w:val="007D4960"/>
    <w:rsid w:val="007D4ED1"/>
    <w:rsid w:val="007D7174"/>
    <w:rsid w:val="007D7334"/>
    <w:rsid w:val="007D7895"/>
    <w:rsid w:val="007E189D"/>
    <w:rsid w:val="007E32A9"/>
    <w:rsid w:val="007E4954"/>
    <w:rsid w:val="007E4BB5"/>
    <w:rsid w:val="007E55CF"/>
    <w:rsid w:val="007E61CE"/>
    <w:rsid w:val="007E6995"/>
    <w:rsid w:val="007F03F8"/>
    <w:rsid w:val="007F0FC5"/>
    <w:rsid w:val="007F2A59"/>
    <w:rsid w:val="007F40D8"/>
    <w:rsid w:val="007F41F7"/>
    <w:rsid w:val="007F5E82"/>
    <w:rsid w:val="007F6E8C"/>
    <w:rsid w:val="007F7A24"/>
    <w:rsid w:val="007F7D5A"/>
    <w:rsid w:val="00801C4F"/>
    <w:rsid w:val="008026B7"/>
    <w:rsid w:val="0080373C"/>
    <w:rsid w:val="008064DE"/>
    <w:rsid w:val="00806B60"/>
    <w:rsid w:val="00806D82"/>
    <w:rsid w:val="00810BC6"/>
    <w:rsid w:val="008117ED"/>
    <w:rsid w:val="0081264B"/>
    <w:rsid w:val="00813F55"/>
    <w:rsid w:val="0081553B"/>
    <w:rsid w:val="008161DC"/>
    <w:rsid w:val="0081681B"/>
    <w:rsid w:val="00821515"/>
    <w:rsid w:val="00821ED5"/>
    <w:rsid w:val="00822CB5"/>
    <w:rsid w:val="0082395F"/>
    <w:rsid w:val="00830AE0"/>
    <w:rsid w:val="00832BBF"/>
    <w:rsid w:val="0083409E"/>
    <w:rsid w:val="008354B2"/>
    <w:rsid w:val="00835A8C"/>
    <w:rsid w:val="00835C9E"/>
    <w:rsid w:val="008361B8"/>
    <w:rsid w:val="00836CFF"/>
    <w:rsid w:val="008375B4"/>
    <w:rsid w:val="00837DF7"/>
    <w:rsid w:val="00840039"/>
    <w:rsid w:val="00841CD6"/>
    <w:rsid w:val="0084299E"/>
    <w:rsid w:val="00845774"/>
    <w:rsid w:val="0085028A"/>
    <w:rsid w:val="00850ACB"/>
    <w:rsid w:val="00851F74"/>
    <w:rsid w:val="008522AD"/>
    <w:rsid w:val="00852BF6"/>
    <w:rsid w:val="00852F7D"/>
    <w:rsid w:val="008535A7"/>
    <w:rsid w:val="008553A9"/>
    <w:rsid w:val="008566A2"/>
    <w:rsid w:val="00863598"/>
    <w:rsid w:val="00865459"/>
    <w:rsid w:val="0086673A"/>
    <w:rsid w:val="00866FF0"/>
    <w:rsid w:val="00867F5A"/>
    <w:rsid w:val="00870169"/>
    <w:rsid w:val="008711A1"/>
    <w:rsid w:val="00873354"/>
    <w:rsid w:val="00873CB9"/>
    <w:rsid w:val="00880582"/>
    <w:rsid w:val="00880A73"/>
    <w:rsid w:val="00883EF4"/>
    <w:rsid w:val="00885095"/>
    <w:rsid w:val="0088570D"/>
    <w:rsid w:val="00885E78"/>
    <w:rsid w:val="00886402"/>
    <w:rsid w:val="0088654F"/>
    <w:rsid w:val="00886872"/>
    <w:rsid w:val="00886AD8"/>
    <w:rsid w:val="00886F6B"/>
    <w:rsid w:val="00887FE9"/>
    <w:rsid w:val="00891C6A"/>
    <w:rsid w:val="00892A6F"/>
    <w:rsid w:val="008945DB"/>
    <w:rsid w:val="00895404"/>
    <w:rsid w:val="008958C2"/>
    <w:rsid w:val="00896A33"/>
    <w:rsid w:val="008A46D9"/>
    <w:rsid w:val="008A4AFE"/>
    <w:rsid w:val="008A4DB4"/>
    <w:rsid w:val="008A66FF"/>
    <w:rsid w:val="008A74BD"/>
    <w:rsid w:val="008B02A9"/>
    <w:rsid w:val="008B02B1"/>
    <w:rsid w:val="008B0848"/>
    <w:rsid w:val="008B1661"/>
    <w:rsid w:val="008B1EBC"/>
    <w:rsid w:val="008B2928"/>
    <w:rsid w:val="008B3A1D"/>
    <w:rsid w:val="008B5028"/>
    <w:rsid w:val="008C0186"/>
    <w:rsid w:val="008C11CD"/>
    <w:rsid w:val="008C275A"/>
    <w:rsid w:val="008C276F"/>
    <w:rsid w:val="008C7874"/>
    <w:rsid w:val="008D0566"/>
    <w:rsid w:val="008D0D4E"/>
    <w:rsid w:val="008D1A27"/>
    <w:rsid w:val="008D3B80"/>
    <w:rsid w:val="008E1E51"/>
    <w:rsid w:val="008E2871"/>
    <w:rsid w:val="008E337B"/>
    <w:rsid w:val="008E352B"/>
    <w:rsid w:val="008E4A39"/>
    <w:rsid w:val="008E4AE7"/>
    <w:rsid w:val="008E6672"/>
    <w:rsid w:val="008F4214"/>
    <w:rsid w:val="008F7FB2"/>
    <w:rsid w:val="00900B3D"/>
    <w:rsid w:val="00900E69"/>
    <w:rsid w:val="00901A11"/>
    <w:rsid w:val="00902A45"/>
    <w:rsid w:val="0090407D"/>
    <w:rsid w:val="009045EC"/>
    <w:rsid w:val="00905408"/>
    <w:rsid w:val="00905FE0"/>
    <w:rsid w:val="009065C0"/>
    <w:rsid w:val="00906F1B"/>
    <w:rsid w:val="00911867"/>
    <w:rsid w:val="009135E8"/>
    <w:rsid w:val="009136DA"/>
    <w:rsid w:val="00915D9B"/>
    <w:rsid w:val="00916544"/>
    <w:rsid w:val="00920914"/>
    <w:rsid w:val="00920CE9"/>
    <w:rsid w:val="009220AF"/>
    <w:rsid w:val="009221BE"/>
    <w:rsid w:val="00923AB0"/>
    <w:rsid w:val="0092400B"/>
    <w:rsid w:val="009243A7"/>
    <w:rsid w:val="00925880"/>
    <w:rsid w:val="00925E28"/>
    <w:rsid w:val="00932237"/>
    <w:rsid w:val="00934528"/>
    <w:rsid w:val="0093459B"/>
    <w:rsid w:val="00936D49"/>
    <w:rsid w:val="009407BE"/>
    <w:rsid w:val="009431C0"/>
    <w:rsid w:val="00943D3C"/>
    <w:rsid w:val="009442C8"/>
    <w:rsid w:val="00944A71"/>
    <w:rsid w:val="009458B6"/>
    <w:rsid w:val="009461E3"/>
    <w:rsid w:val="009476AC"/>
    <w:rsid w:val="00950503"/>
    <w:rsid w:val="00950F4C"/>
    <w:rsid w:val="00955B20"/>
    <w:rsid w:val="00956C02"/>
    <w:rsid w:val="00957B60"/>
    <w:rsid w:val="00962D86"/>
    <w:rsid w:val="0096391B"/>
    <w:rsid w:val="00967774"/>
    <w:rsid w:val="00967952"/>
    <w:rsid w:val="009721FC"/>
    <w:rsid w:val="0097272A"/>
    <w:rsid w:val="00972A25"/>
    <w:rsid w:val="00972C3F"/>
    <w:rsid w:val="00973C07"/>
    <w:rsid w:val="00975474"/>
    <w:rsid w:val="009758B5"/>
    <w:rsid w:val="009805A1"/>
    <w:rsid w:val="009806B0"/>
    <w:rsid w:val="00980DBD"/>
    <w:rsid w:val="0098438B"/>
    <w:rsid w:val="00986725"/>
    <w:rsid w:val="009917CF"/>
    <w:rsid w:val="009924AE"/>
    <w:rsid w:val="00993497"/>
    <w:rsid w:val="00993B2E"/>
    <w:rsid w:val="00993DE9"/>
    <w:rsid w:val="0099476D"/>
    <w:rsid w:val="009952C3"/>
    <w:rsid w:val="009A0296"/>
    <w:rsid w:val="009A211D"/>
    <w:rsid w:val="009A2909"/>
    <w:rsid w:val="009A4122"/>
    <w:rsid w:val="009A41F6"/>
    <w:rsid w:val="009A507C"/>
    <w:rsid w:val="009A6C13"/>
    <w:rsid w:val="009A7D08"/>
    <w:rsid w:val="009B272A"/>
    <w:rsid w:val="009B7954"/>
    <w:rsid w:val="009B7C40"/>
    <w:rsid w:val="009C0C83"/>
    <w:rsid w:val="009C4087"/>
    <w:rsid w:val="009C4874"/>
    <w:rsid w:val="009C74C0"/>
    <w:rsid w:val="009D04D0"/>
    <w:rsid w:val="009D1FE4"/>
    <w:rsid w:val="009D21DB"/>
    <w:rsid w:val="009D34D4"/>
    <w:rsid w:val="009D5D3A"/>
    <w:rsid w:val="009D694F"/>
    <w:rsid w:val="009E0B7E"/>
    <w:rsid w:val="009E0CBD"/>
    <w:rsid w:val="009E1864"/>
    <w:rsid w:val="009E4AD0"/>
    <w:rsid w:val="009E58F6"/>
    <w:rsid w:val="009E6846"/>
    <w:rsid w:val="009E7022"/>
    <w:rsid w:val="009F0896"/>
    <w:rsid w:val="009F0BE0"/>
    <w:rsid w:val="009F2B7C"/>
    <w:rsid w:val="009F39C7"/>
    <w:rsid w:val="009F6DB7"/>
    <w:rsid w:val="00A00311"/>
    <w:rsid w:val="00A01D34"/>
    <w:rsid w:val="00A0336E"/>
    <w:rsid w:val="00A0352F"/>
    <w:rsid w:val="00A06FA1"/>
    <w:rsid w:val="00A10236"/>
    <w:rsid w:val="00A10CFD"/>
    <w:rsid w:val="00A10F03"/>
    <w:rsid w:val="00A11545"/>
    <w:rsid w:val="00A1160E"/>
    <w:rsid w:val="00A155C4"/>
    <w:rsid w:val="00A17B09"/>
    <w:rsid w:val="00A24EA0"/>
    <w:rsid w:val="00A2580E"/>
    <w:rsid w:val="00A268D5"/>
    <w:rsid w:val="00A311EB"/>
    <w:rsid w:val="00A32149"/>
    <w:rsid w:val="00A32C6E"/>
    <w:rsid w:val="00A33376"/>
    <w:rsid w:val="00A35A38"/>
    <w:rsid w:val="00A37A1A"/>
    <w:rsid w:val="00A4136A"/>
    <w:rsid w:val="00A41AD1"/>
    <w:rsid w:val="00A422B8"/>
    <w:rsid w:val="00A437DF"/>
    <w:rsid w:val="00A43E03"/>
    <w:rsid w:val="00A4502A"/>
    <w:rsid w:val="00A45845"/>
    <w:rsid w:val="00A45894"/>
    <w:rsid w:val="00A45FE7"/>
    <w:rsid w:val="00A46B26"/>
    <w:rsid w:val="00A523A6"/>
    <w:rsid w:val="00A544C2"/>
    <w:rsid w:val="00A5454F"/>
    <w:rsid w:val="00A56A33"/>
    <w:rsid w:val="00A56CAA"/>
    <w:rsid w:val="00A606BD"/>
    <w:rsid w:val="00A60A3B"/>
    <w:rsid w:val="00A615A8"/>
    <w:rsid w:val="00A61F84"/>
    <w:rsid w:val="00A640B5"/>
    <w:rsid w:val="00A655E5"/>
    <w:rsid w:val="00A67782"/>
    <w:rsid w:val="00A71037"/>
    <w:rsid w:val="00A71B08"/>
    <w:rsid w:val="00A74146"/>
    <w:rsid w:val="00A764DD"/>
    <w:rsid w:val="00A76984"/>
    <w:rsid w:val="00A76D3B"/>
    <w:rsid w:val="00A80457"/>
    <w:rsid w:val="00A82CFD"/>
    <w:rsid w:val="00A8608D"/>
    <w:rsid w:val="00A86A28"/>
    <w:rsid w:val="00A877AA"/>
    <w:rsid w:val="00A9115F"/>
    <w:rsid w:val="00A91C2E"/>
    <w:rsid w:val="00A94688"/>
    <w:rsid w:val="00A95CC9"/>
    <w:rsid w:val="00A97B28"/>
    <w:rsid w:val="00AA0725"/>
    <w:rsid w:val="00AA24EC"/>
    <w:rsid w:val="00AA26D6"/>
    <w:rsid w:val="00AA2FD5"/>
    <w:rsid w:val="00AA3963"/>
    <w:rsid w:val="00AA3ECA"/>
    <w:rsid w:val="00AA3EF2"/>
    <w:rsid w:val="00AA4FB0"/>
    <w:rsid w:val="00AA5252"/>
    <w:rsid w:val="00AA5826"/>
    <w:rsid w:val="00AB0A93"/>
    <w:rsid w:val="00AB4A7D"/>
    <w:rsid w:val="00AB57DE"/>
    <w:rsid w:val="00AB6F9D"/>
    <w:rsid w:val="00AC1B1B"/>
    <w:rsid w:val="00AC1FEC"/>
    <w:rsid w:val="00AC4AFF"/>
    <w:rsid w:val="00AC57B9"/>
    <w:rsid w:val="00AC7C6C"/>
    <w:rsid w:val="00AD0F9B"/>
    <w:rsid w:val="00AD18D2"/>
    <w:rsid w:val="00AD2D2D"/>
    <w:rsid w:val="00AD35A8"/>
    <w:rsid w:val="00AD4A7E"/>
    <w:rsid w:val="00AD78C4"/>
    <w:rsid w:val="00AE0DAD"/>
    <w:rsid w:val="00AE1BDE"/>
    <w:rsid w:val="00AE3588"/>
    <w:rsid w:val="00AE445A"/>
    <w:rsid w:val="00AE47B9"/>
    <w:rsid w:val="00AF2402"/>
    <w:rsid w:val="00AF2883"/>
    <w:rsid w:val="00AF3726"/>
    <w:rsid w:val="00AF54B0"/>
    <w:rsid w:val="00AF56C5"/>
    <w:rsid w:val="00AF65F7"/>
    <w:rsid w:val="00AF6959"/>
    <w:rsid w:val="00AF798F"/>
    <w:rsid w:val="00AF7B34"/>
    <w:rsid w:val="00AF7E21"/>
    <w:rsid w:val="00B01642"/>
    <w:rsid w:val="00B04F8E"/>
    <w:rsid w:val="00B05094"/>
    <w:rsid w:val="00B056A5"/>
    <w:rsid w:val="00B05F3B"/>
    <w:rsid w:val="00B106C3"/>
    <w:rsid w:val="00B1212B"/>
    <w:rsid w:val="00B12550"/>
    <w:rsid w:val="00B1290F"/>
    <w:rsid w:val="00B15F32"/>
    <w:rsid w:val="00B17B0C"/>
    <w:rsid w:val="00B20E81"/>
    <w:rsid w:val="00B2117E"/>
    <w:rsid w:val="00B21DDC"/>
    <w:rsid w:val="00B2272A"/>
    <w:rsid w:val="00B24715"/>
    <w:rsid w:val="00B2520C"/>
    <w:rsid w:val="00B2715B"/>
    <w:rsid w:val="00B30E5E"/>
    <w:rsid w:val="00B31FA6"/>
    <w:rsid w:val="00B322B1"/>
    <w:rsid w:val="00B34217"/>
    <w:rsid w:val="00B36F7A"/>
    <w:rsid w:val="00B4024E"/>
    <w:rsid w:val="00B40DE0"/>
    <w:rsid w:val="00B451E4"/>
    <w:rsid w:val="00B47DCD"/>
    <w:rsid w:val="00B506B5"/>
    <w:rsid w:val="00B50A73"/>
    <w:rsid w:val="00B54954"/>
    <w:rsid w:val="00B568A0"/>
    <w:rsid w:val="00B5696E"/>
    <w:rsid w:val="00B56D04"/>
    <w:rsid w:val="00B638D6"/>
    <w:rsid w:val="00B64390"/>
    <w:rsid w:val="00B71CB2"/>
    <w:rsid w:val="00B724E5"/>
    <w:rsid w:val="00B725A1"/>
    <w:rsid w:val="00B73C5A"/>
    <w:rsid w:val="00B73E6A"/>
    <w:rsid w:val="00B74961"/>
    <w:rsid w:val="00B75DE3"/>
    <w:rsid w:val="00B7636C"/>
    <w:rsid w:val="00B763EA"/>
    <w:rsid w:val="00B773CD"/>
    <w:rsid w:val="00B805C3"/>
    <w:rsid w:val="00B83838"/>
    <w:rsid w:val="00B85CFF"/>
    <w:rsid w:val="00B85D7E"/>
    <w:rsid w:val="00B91A1D"/>
    <w:rsid w:val="00B921B5"/>
    <w:rsid w:val="00B9336E"/>
    <w:rsid w:val="00B94AB1"/>
    <w:rsid w:val="00B94EC6"/>
    <w:rsid w:val="00B964DB"/>
    <w:rsid w:val="00B967EB"/>
    <w:rsid w:val="00BA06AC"/>
    <w:rsid w:val="00BA5133"/>
    <w:rsid w:val="00BA7CD9"/>
    <w:rsid w:val="00BB1C80"/>
    <w:rsid w:val="00BB1F12"/>
    <w:rsid w:val="00BB2EBE"/>
    <w:rsid w:val="00BB2ED9"/>
    <w:rsid w:val="00BB4293"/>
    <w:rsid w:val="00BB4AB6"/>
    <w:rsid w:val="00BB7C81"/>
    <w:rsid w:val="00BC0291"/>
    <w:rsid w:val="00BC045A"/>
    <w:rsid w:val="00BC0BC0"/>
    <w:rsid w:val="00BC2C1F"/>
    <w:rsid w:val="00BC39C6"/>
    <w:rsid w:val="00BC712B"/>
    <w:rsid w:val="00BD1645"/>
    <w:rsid w:val="00BD21F3"/>
    <w:rsid w:val="00BD2BD3"/>
    <w:rsid w:val="00BD2C51"/>
    <w:rsid w:val="00BD3860"/>
    <w:rsid w:val="00BD4157"/>
    <w:rsid w:val="00BD54A8"/>
    <w:rsid w:val="00BD5DE6"/>
    <w:rsid w:val="00BE1D76"/>
    <w:rsid w:val="00BE492F"/>
    <w:rsid w:val="00BE65A7"/>
    <w:rsid w:val="00BE6734"/>
    <w:rsid w:val="00BE6A1B"/>
    <w:rsid w:val="00BF231A"/>
    <w:rsid w:val="00BF3019"/>
    <w:rsid w:val="00BF4EDE"/>
    <w:rsid w:val="00BF61F4"/>
    <w:rsid w:val="00BF714D"/>
    <w:rsid w:val="00BF7B9D"/>
    <w:rsid w:val="00C00318"/>
    <w:rsid w:val="00C00593"/>
    <w:rsid w:val="00C03F99"/>
    <w:rsid w:val="00C0426B"/>
    <w:rsid w:val="00C0496B"/>
    <w:rsid w:val="00C056A1"/>
    <w:rsid w:val="00C148BC"/>
    <w:rsid w:val="00C154ED"/>
    <w:rsid w:val="00C167F6"/>
    <w:rsid w:val="00C1790E"/>
    <w:rsid w:val="00C20380"/>
    <w:rsid w:val="00C211A3"/>
    <w:rsid w:val="00C237C6"/>
    <w:rsid w:val="00C25141"/>
    <w:rsid w:val="00C25CED"/>
    <w:rsid w:val="00C3052B"/>
    <w:rsid w:val="00C31469"/>
    <w:rsid w:val="00C32D2A"/>
    <w:rsid w:val="00C3547E"/>
    <w:rsid w:val="00C37AD5"/>
    <w:rsid w:val="00C37C7A"/>
    <w:rsid w:val="00C40C4D"/>
    <w:rsid w:val="00C44586"/>
    <w:rsid w:val="00C47558"/>
    <w:rsid w:val="00C53CA8"/>
    <w:rsid w:val="00C56549"/>
    <w:rsid w:val="00C5752F"/>
    <w:rsid w:val="00C57D23"/>
    <w:rsid w:val="00C605AC"/>
    <w:rsid w:val="00C61317"/>
    <w:rsid w:val="00C62365"/>
    <w:rsid w:val="00C636C3"/>
    <w:rsid w:val="00C63AB4"/>
    <w:rsid w:val="00C65490"/>
    <w:rsid w:val="00C673AA"/>
    <w:rsid w:val="00C677A2"/>
    <w:rsid w:val="00C67EA1"/>
    <w:rsid w:val="00C74596"/>
    <w:rsid w:val="00C74613"/>
    <w:rsid w:val="00C74767"/>
    <w:rsid w:val="00C75515"/>
    <w:rsid w:val="00C75A03"/>
    <w:rsid w:val="00C75E50"/>
    <w:rsid w:val="00C76E0C"/>
    <w:rsid w:val="00C77F3F"/>
    <w:rsid w:val="00C8024D"/>
    <w:rsid w:val="00C81124"/>
    <w:rsid w:val="00C835F6"/>
    <w:rsid w:val="00C837EC"/>
    <w:rsid w:val="00C85012"/>
    <w:rsid w:val="00C851DD"/>
    <w:rsid w:val="00C85A78"/>
    <w:rsid w:val="00C8764B"/>
    <w:rsid w:val="00C8776A"/>
    <w:rsid w:val="00C90FEC"/>
    <w:rsid w:val="00C9220A"/>
    <w:rsid w:val="00C963B0"/>
    <w:rsid w:val="00C96800"/>
    <w:rsid w:val="00CA4972"/>
    <w:rsid w:val="00CA6BB8"/>
    <w:rsid w:val="00CB056A"/>
    <w:rsid w:val="00CB0C1F"/>
    <w:rsid w:val="00CB1D59"/>
    <w:rsid w:val="00CB275A"/>
    <w:rsid w:val="00CB3AC5"/>
    <w:rsid w:val="00CB46A1"/>
    <w:rsid w:val="00CC0572"/>
    <w:rsid w:val="00CC3270"/>
    <w:rsid w:val="00CC3F0C"/>
    <w:rsid w:val="00CD12C2"/>
    <w:rsid w:val="00CD1423"/>
    <w:rsid w:val="00CD1B80"/>
    <w:rsid w:val="00CD2916"/>
    <w:rsid w:val="00CD471B"/>
    <w:rsid w:val="00CE0C81"/>
    <w:rsid w:val="00CE1442"/>
    <w:rsid w:val="00CE4F8B"/>
    <w:rsid w:val="00CE5C97"/>
    <w:rsid w:val="00CE6471"/>
    <w:rsid w:val="00CE75B0"/>
    <w:rsid w:val="00CE7A57"/>
    <w:rsid w:val="00CF012C"/>
    <w:rsid w:val="00CF0E62"/>
    <w:rsid w:val="00CF16C6"/>
    <w:rsid w:val="00CF294D"/>
    <w:rsid w:val="00CF3A17"/>
    <w:rsid w:val="00CF535A"/>
    <w:rsid w:val="00CF73E9"/>
    <w:rsid w:val="00CF7528"/>
    <w:rsid w:val="00CF79E9"/>
    <w:rsid w:val="00D0059D"/>
    <w:rsid w:val="00D00C98"/>
    <w:rsid w:val="00D00E98"/>
    <w:rsid w:val="00D01950"/>
    <w:rsid w:val="00D020CA"/>
    <w:rsid w:val="00D06EDD"/>
    <w:rsid w:val="00D0788A"/>
    <w:rsid w:val="00D10869"/>
    <w:rsid w:val="00D10D6D"/>
    <w:rsid w:val="00D15030"/>
    <w:rsid w:val="00D16C21"/>
    <w:rsid w:val="00D17BB0"/>
    <w:rsid w:val="00D2019C"/>
    <w:rsid w:val="00D23088"/>
    <w:rsid w:val="00D2362A"/>
    <w:rsid w:val="00D23E12"/>
    <w:rsid w:val="00D241AA"/>
    <w:rsid w:val="00D252E7"/>
    <w:rsid w:val="00D2745E"/>
    <w:rsid w:val="00D31097"/>
    <w:rsid w:val="00D33A6A"/>
    <w:rsid w:val="00D35137"/>
    <w:rsid w:val="00D3520F"/>
    <w:rsid w:val="00D35B20"/>
    <w:rsid w:val="00D375AA"/>
    <w:rsid w:val="00D43562"/>
    <w:rsid w:val="00D43E02"/>
    <w:rsid w:val="00D444AD"/>
    <w:rsid w:val="00D45540"/>
    <w:rsid w:val="00D46BED"/>
    <w:rsid w:val="00D512B1"/>
    <w:rsid w:val="00D54D20"/>
    <w:rsid w:val="00D556F9"/>
    <w:rsid w:val="00D573D3"/>
    <w:rsid w:val="00D60432"/>
    <w:rsid w:val="00D60C45"/>
    <w:rsid w:val="00D62BC2"/>
    <w:rsid w:val="00D654BC"/>
    <w:rsid w:val="00D71E09"/>
    <w:rsid w:val="00D72AA4"/>
    <w:rsid w:val="00D72EDB"/>
    <w:rsid w:val="00D75C9A"/>
    <w:rsid w:val="00D77B46"/>
    <w:rsid w:val="00D80DEC"/>
    <w:rsid w:val="00D812B8"/>
    <w:rsid w:val="00D835F7"/>
    <w:rsid w:val="00D84344"/>
    <w:rsid w:val="00D85C72"/>
    <w:rsid w:val="00D8642F"/>
    <w:rsid w:val="00D9293A"/>
    <w:rsid w:val="00D96ECD"/>
    <w:rsid w:val="00D977B3"/>
    <w:rsid w:val="00D97884"/>
    <w:rsid w:val="00DA185B"/>
    <w:rsid w:val="00DA2252"/>
    <w:rsid w:val="00DA56D5"/>
    <w:rsid w:val="00DA5F38"/>
    <w:rsid w:val="00DA6600"/>
    <w:rsid w:val="00DB0F37"/>
    <w:rsid w:val="00DB35FF"/>
    <w:rsid w:val="00DB3F75"/>
    <w:rsid w:val="00DB48D4"/>
    <w:rsid w:val="00DB4E26"/>
    <w:rsid w:val="00DB50C2"/>
    <w:rsid w:val="00DB6373"/>
    <w:rsid w:val="00DB70BB"/>
    <w:rsid w:val="00DC0AD7"/>
    <w:rsid w:val="00DC241E"/>
    <w:rsid w:val="00DC285D"/>
    <w:rsid w:val="00DC2DEB"/>
    <w:rsid w:val="00DC4C70"/>
    <w:rsid w:val="00DC63B4"/>
    <w:rsid w:val="00DC709F"/>
    <w:rsid w:val="00DC7641"/>
    <w:rsid w:val="00DD0BA9"/>
    <w:rsid w:val="00DD4713"/>
    <w:rsid w:val="00DE1CBB"/>
    <w:rsid w:val="00DE2C97"/>
    <w:rsid w:val="00DE43DA"/>
    <w:rsid w:val="00DE5252"/>
    <w:rsid w:val="00DE6AA9"/>
    <w:rsid w:val="00DF24FF"/>
    <w:rsid w:val="00DF2E6B"/>
    <w:rsid w:val="00DF4ABB"/>
    <w:rsid w:val="00DF5F36"/>
    <w:rsid w:val="00DF6710"/>
    <w:rsid w:val="00DF68D1"/>
    <w:rsid w:val="00E00A66"/>
    <w:rsid w:val="00E01A2E"/>
    <w:rsid w:val="00E01B84"/>
    <w:rsid w:val="00E02699"/>
    <w:rsid w:val="00E05E76"/>
    <w:rsid w:val="00E079C1"/>
    <w:rsid w:val="00E119C3"/>
    <w:rsid w:val="00E1241C"/>
    <w:rsid w:val="00E14F0A"/>
    <w:rsid w:val="00E15438"/>
    <w:rsid w:val="00E16FDC"/>
    <w:rsid w:val="00E21433"/>
    <w:rsid w:val="00E21438"/>
    <w:rsid w:val="00E276D0"/>
    <w:rsid w:val="00E27C6A"/>
    <w:rsid w:val="00E31467"/>
    <w:rsid w:val="00E32D95"/>
    <w:rsid w:val="00E33306"/>
    <w:rsid w:val="00E33A9F"/>
    <w:rsid w:val="00E33BA3"/>
    <w:rsid w:val="00E33F60"/>
    <w:rsid w:val="00E3425C"/>
    <w:rsid w:val="00E361B1"/>
    <w:rsid w:val="00E378C2"/>
    <w:rsid w:val="00E40D24"/>
    <w:rsid w:val="00E438EF"/>
    <w:rsid w:val="00E43D61"/>
    <w:rsid w:val="00E452D7"/>
    <w:rsid w:val="00E4659A"/>
    <w:rsid w:val="00E50105"/>
    <w:rsid w:val="00E539D5"/>
    <w:rsid w:val="00E559A8"/>
    <w:rsid w:val="00E56C5C"/>
    <w:rsid w:val="00E631F6"/>
    <w:rsid w:val="00E6458B"/>
    <w:rsid w:val="00E6766E"/>
    <w:rsid w:val="00E724AF"/>
    <w:rsid w:val="00E733DC"/>
    <w:rsid w:val="00E73684"/>
    <w:rsid w:val="00E74FB1"/>
    <w:rsid w:val="00E75B9E"/>
    <w:rsid w:val="00E75EFA"/>
    <w:rsid w:val="00E764F3"/>
    <w:rsid w:val="00E770EF"/>
    <w:rsid w:val="00E81249"/>
    <w:rsid w:val="00E81275"/>
    <w:rsid w:val="00E81A70"/>
    <w:rsid w:val="00E825F8"/>
    <w:rsid w:val="00E8369F"/>
    <w:rsid w:val="00E8382D"/>
    <w:rsid w:val="00E83B98"/>
    <w:rsid w:val="00E8431D"/>
    <w:rsid w:val="00E8519D"/>
    <w:rsid w:val="00E90C3F"/>
    <w:rsid w:val="00E9199E"/>
    <w:rsid w:val="00E93777"/>
    <w:rsid w:val="00E93845"/>
    <w:rsid w:val="00E938C0"/>
    <w:rsid w:val="00E9631F"/>
    <w:rsid w:val="00E96729"/>
    <w:rsid w:val="00E96FC1"/>
    <w:rsid w:val="00EA091C"/>
    <w:rsid w:val="00EA24BA"/>
    <w:rsid w:val="00EA38EF"/>
    <w:rsid w:val="00EA5805"/>
    <w:rsid w:val="00EA79E3"/>
    <w:rsid w:val="00EB4575"/>
    <w:rsid w:val="00EB545C"/>
    <w:rsid w:val="00EB5699"/>
    <w:rsid w:val="00EB6C81"/>
    <w:rsid w:val="00EB6DCD"/>
    <w:rsid w:val="00EC0217"/>
    <w:rsid w:val="00EC23DF"/>
    <w:rsid w:val="00ED00D9"/>
    <w:rsid w:val="00ED02E3"/>
    <w:rsid w:val="00ED0D59"/>
    <w:rsid w:val="00ED2AD2"/>
    <w:rsid w:val="00ED583F"/>
    <w:rsid w:val="00ED76B0"/>
    <w:rsid w:val="00EE00BC"/>
    <w:rsid w:val="00EE2B0B"/>
    <w:rsid w:val="00EE3DB9"/>
    <w:rsid w:val="00EE4342"/>
    <w:rsid w:val="00EE69E2"/>
    <w:rsid w:val="00EF0306"/>
    <w:rsid w:val="00EF049A"/>
    <w:rsid w:val="00EF2AF8"/>
    <w:rsid w:val="00EF34DF"/>
    <w:rsid w:val="00EF6A87"/>
    <w:rsid w:val="00F00AC2"/>
    <w:rsid w:val="00F03858"/>
    <w:rsid w:val="00F05015"/>
    <w:rsid w:val="00F05F33"/>
    <w:rsid w:val="00F070BD"/>
    <w:rsid w:val="00F07FA8"/>
    <w:rsid w:val="00F10693"/>
    <w:rsid w:val="00F13BC6"/>
    <w:rsid w:val="00F14774"/>
    <w:rsid w:val="00F1710B"/>
    <w:rsid w:val="00F2055C"/>
    <w:rsid w:val="00F20871"/>
    <w:rsid w:val="00F20A78"/>
    <w:rsid w:val="00F21163"/>
    <w:rsid w:val="00F2146A"/>
    <w:rsid w:val="00F2273E"/>
    <w:rsid w:val="00F2431A"/>
    <w:rsid w:val="00F24479"/>
    <w:rsid w:val="00F24D3F"/>
    <w:rsid w:val="00F25225"/>
    <w:rsid w:val="00F255D1"/>
    <w:rsid w:val="00F30BD4"/>
    <w:rsid w:val="00F30FB0"/>
    <w:rsid w:val="00F3127E"/>
    <w:rsid w:val="00F3256A"/>
    <w:rsid w:val="00F3504F"/>
    <w:rsid w:val="00F36CCC"/>
    <w:rsid w:val="00F43896"/>
    <w:rsid w:val="00F461F4"/>
    <w:rsid w:val="00F46E69"/>
    <w:rsid w:val="00F4700F"/>
    <w:rsid w:val="00F50A5A"/>
    <w:rsid w:val="00F50C02"/>
    <w:rsid w:val="00F5198F"/>
    <w:rsid w:val="00F53166"/>
    <w:rsid w:val="00F53B22"/>
    <w:rsid w:val="00F62209"/>
    <w:rsid w:val="00F64440"/>
    <w:rsid w:val="00F64898"/>
    <w:rsid w:val="00F651D5"/>
    <w:rsid w:val="00F66E63"/>
    <w:rsid w:val="00F672C4"/>
    <w:rsid w:val="00F732E5"/>
    <w:rsid w:val="00F76D85"/>
    <w:rsid w:val="00F828FB"/>
    <w:rsid w:val="00F8599A"/>
    <w:rsid w:val="00F86082"/>
    <w:rsid w:val="00F86FBA"/>
    <w:rsid w:val="00F87D2E"/>
    <w:rsid w:val="00F87EB2"/>
    <w:rsid w:val="00F906F7"/>
    <w:rsid w:val="00F91C6D"/>
    <w:rsid w:val="00F91E7C"/>
    <w:rsid w:val="00F92D59"/>
    <w:rsid w:val="00F95938"/>
    <w:rsid w:val="00F95B6B"/>
    <w:rsid w:val="00F966F3"/>
    <w:rsid w:val="00F969A4"/>
    <w:rsid w:val="00FA04F7"/>
    <w:rsid w:val="00FA074E"/>
    <w:rsid w:val="00FA0E28"/>
    <w:rsid w:val="00FB0029"/>
    <w:rsid w:val="00FB018E"/>
    <w:rsid w:val="00FB1053"/>
    <w:rsid w:val="00FB1568"/>
    <w:rsid w:val="00FB39DB"/>
    <w:rsid w:val="00FB569A"/>
    <w:rsid w:val="00FB5C75"/>
    <w:rsid w:val="00FB6FC1"/>
    <w:rsid w:val="00FB73F3"/>
    <w:rsid w:val="00FB7694"/>
    <w:rsid w:val="00FC02E8"/>
    <w:rsid w:val="00FC351E"/>
    <w:rsid w:val="00FC35B9"/>
    <w:rsid w:val="00FC480F"/>
    <w:rsid w:val="00FC4F57"/>
    <w:rsid w:val="00FD04A4"/>
    <w:rsid w:val="00FD0D66"/>
    <w:rsid w:val="00FD0E8F"/>
    <w:rsid w:val="00FE1E6E"/>
    <w:rsid w:val="00FE2712"/>
    <w:rsid w:val="00FE33A8"/>
    <w:rsid w:val="00FE5779"/>
    <w:rsid w:val="00FE69CA"/>
    <w:rsid w:val="00FE75B7"/>
    <w:rsid w:val="00FE7E88"/>
    <w:rsid w:val="00FE7FCA"/>
    <w:rsid w:val="00FF2A03"/>
    <w:rsid w:val="00FF2CEF"/>
    <w:rsid w:val="00FF3C4B"/>
    <w:rsid w:val="00FF7ADB"/>
    <w:rsid w:val="00FF7FE8"/>
    <w:rsid w:val="01774E57"/>
    <w:rsid w:val="02B1278B"/>
    <w:rsid w:val="02C52146"/>
    <w:rsid w:val="04082842"/>
    <w:rsid w:val="04272BAD"/>
    <w:rsid w:val="04D20FA6"/>
    <w:rsid w:val="052F2BA2"/>
    <w:rsid w:val="05E70563"/>
    <w:rsid w:val="064A7BF1"/>
    <w:rsid w:val="06EA46D8"/>
    <w:rsid w:val="06FC4C3A"/>
    <w:rsid w:val="07B35B58"/>
    <w:rsid w:val="07D84340"/>
    <w:rsid w:val="081C6867"/>
    <w:rsid w:val="08644982"/>
    <w:rsid w:val="089A3745"/>
    <w:rsid w:val="08CD47F6"/>
    <w:rsid w:val="09700EA3"/>
    <w:rsid w:val="09A952D9"/>
    <w:rsid w:val="0A887B97"/>
    <w:rsid w:val="0BC837DE"/>
    <w:rsid w:val="0C152857"/>
    <w:rsid w:val="0C8030DC"/>
    <w:rsid w:val="0D8C5D57"/>
    <w:rsid w:val="0E983C80"/>
    <w:rsid w:val="0ECB571B"/>
    <w:rsid w:val="0FD82492"/>
    <w:rsid w:val="10883535"/>
    <w:rsid w:val="117664FD"/>
    <w:rsid w:val="12231403"/>
    <w:rsid w:val="142068CF"/>
    <w:rsid w:val="14302420"/>
    <w:rsid w:val="15994A48"/>
    <w:rsid w:val="15B754F7"/>
    <w:rsid w:val="15CC0CE1"/>
    <w:rsid w:val="16E672AE"/>
    <w:rsid w:val="171371B2"/>
    <w:rsid w:val="17163843"/>
    <w:rsid w:val="177F74DB"/>
    <w:rsid w:val="1783501F"/>
    <w:rsid w:val="17C241F4"/>
    <w:rsid w:val="1A6250A7"/>
    <w:rsid w:val="1B77287A"/>
    <w:rsid w:val="1BBC7A96"/>
    <w:rsid w:val="1BC7480A"/>
    <w:rsid w:val="1BD24ECB"/>
    <w:rsid w:val="1BDF5944"/>
    <w:rsid w:val="1C090FAF"/>
    <w:rsid w:val="1CF80BD1"/>
    <w:rsid w:val="1E1026C2"/>
    <w:rsid w:val="1EBB2A22"/>
    <w:rsid w:val="1F044773"/>
    <w:rsid w:val="1F160CC2"/>
    <w:rsid w:val="1F776772"/>
    <w:rsid w:val="20561C49"/>
    <w:rsid w:val="20D717B1"/>
    <w:rsid w:val="22772C98"/>
    <w:rsid w:val="22CA51A1"/>
    <w:rsid w:val="230F7B8D"/>
    <w:rsid w:val="23F14150"/>
    <w:rsid w:val="24B73EB2"/>
    <w:rsid w:val="24E836B8"/>
    <w:rsid w:val="25E4104A"/>
    <w:rsid w:val="26921F72"/>
    <w:rsid w:val="26A6542B"/>
    <w:rsid w:val="26CE74A7"/>
    <w:rsid w:val="26ED232B"/>
    <w:rsid w:val="273167D5"/>
    <w:rsid w:val="277F7232"/>
    <w:rsid w:val="27E5331E"/>
    <w:rsid w:val="280651E5"/>
    <w:rsid w:val="28601BA6"/>
    <w:rsid w:val="28762CAE"/>
    <w:rsid w:val="28827D1F"/>
    <w:rsid w:val="28847EE4"/>
    <w:rsid w:val="28A634A2"/>
    <w:rsid w:val="29186B9C"/>
    <w:rsid w:val="2924045B"/>
    <w:rsid w:val="29E06803"/>
    <w:rsid w:val="2A0E287B"/>
    <w:rsid w:val="2A7D77AC"/>
    <w:rsid w:val="2ABD3887"/>
    <w:rsid w:val="2B195BC3"/>
    <w:rsid w:val="2B407848"/>
    <w:rsid w:val="2C5B06FA"/>
    <w:rsid w:val="2C5E7EF1"/>
    <w:rsid w:val="2D456F8C"/>
    <w:rsid w:val="2D627A75"/>
    <w:rsid w:val="2E1F0CFB"/>
    <w:rsid w:val="2E286DB1"/>
    <w:rsid w:val="2E6F1144"/>
    <w:rsid w:val="2E913D86"/>
    <w:rsid w:val="30480883"/>
    <w:rsid w:val="30735F85"/>
    <w:rsid w:val="30AB5C01"/>
    <w:rsid w:val="31091062"/>
    <w:rsid w:val="31CD3A71"/>
    <w:rsid w:val="328110B6"/>
    <w:rsid w:val="34054D06"/>
    <w:rsid w:val="3516486D"/>
    <w:rsid w:val="369961BF"/>
    <w:rsid w:val="369D77EB"/>
    <w:rsid w:val="378D5C54"/>
    <w:rsid w:val="37A17456"/>
    <w:rsid w:val="38D505EB"/>
    <w:rsid w:val="38D822D3"/>
    <w:rsid w:val="38E71022"/>
    <w:rsid w:val="391D4723"/>
    <w:rsid w:val="39381811"/>
    <w:rsid w:val="39A15D3C"/>
    <w:rsid w:val="39CC1C95"/>
    <w:rsid w:val="3B79048C"/>
    <w:rsid w:val="3C3B526A"/>
    <w:rsid w:val="3C8C39D9"/>
    <w:rsid w:val="3D646223"/>
    <w:rsid w:val="3D955DCD"/>
    <w:rsid w:val="3DAC69C5"/>
    <w:rsid w:val="3F4809C2"/>
    <w:rsid w:val="3FB90109"/>
    <w:rsid w:val="3FB963D4"/>
    <w:rsid w:val="40442EA8"/>
    <w:rsid w:val="40A061DD"/>
    <w:rsid w:val="40AB6D30"/>
    <w:rsid w:val="40B14759"/>
    <w:rsid w:val="415F2EBB"/>
    <w:rsid w:val="4369558E"/>
    <w:rsid w:val="439B2B08"/>
    <w:rsid w:val="43EB52A6"/>
    <w:rsid w:val="44085204"/>
    <w:rsid w:val="44405257"/>
    <w:rsid w:val="44C82C33"/>
    <w:rsid w:val="459F5CF3"/>
    <w:rsid w:val="46596A3B"/>
    <w:rsid w:val="470C2803"/>
    <w:rsid w:val="47395712"/>
    <w:rsid w:val="47BF7E39"/>
    <w:rsid w:val="47C52160"/>
    <w:rsid w:val="49687804"/>
    <w:rsid w:val="497024A6"/>
    <w:rsid w:val="49F80611"/>
    <w:rsid w:val="4A1930E5"/>
    <w:rsid w:val="4A200882"/>
    <w:rsid w:val="4A5C3816"/>
    <w:rsid w:val="4A905BAD"/>
    <w:rsid w:val="4A925B69"/>
    <w:rsid w:val="4ADD7F17"/>
    <w:rsid w:val="4B057597"/>
    <w:rsid w:val="4B2D3DE0"/>
    <w:rsid w:val="4B2E3D85"/>
    <w:rsid w:val="4BC85965"/>
    <w:rsid w:val="4BD17F41"/>
    <w:rsid w:val="4BF834DB"/>
    <w:rsid w:val="4C1F166D"/>
    <w:rsid w:val="4C3B4739"/>
    <w:rsid w:val="4CC33ACF"/>
    <w:rsid w:val="4DA1437B"/>
    <w:rsid w:val="4DC42DB5"/>
    <w:rsid w:val="4E4230DD"/>
    <w:rsid w:val="4E8D2B9F"/>
    <w:rsid w:val="4E8E7AED"/>
    <w:rsid w:val="4E8F43B3"/>
    <w:rsid w:val="4F934A89"/>
    <w:rsid w:val="4FB61AA0"/>
    <w:rsid w:val="4FD419DA"/>
    <w:rsid w:val="506774E1"/>
    <w:rsid w:val="50853CD3"/>
    <w:rsid w:val="52207AC0"/>
    <w:rsid w:val="5290601F"/>
    <w:rsid w:val="52FC2FA1"/>
    <w:rsid w:val="533C592C"/>
    <w:rsid w:val="535B66ED"/>
    <w:rsid w:val="5400083B"/>
    <w:rsid w:val="55EA1740"/>
    <w:rsid w:val="563911F6"/>
    <w:rsid w:val="564C6B6B"/>
    <w:rsid w:val="567709DD"/>
    <w:rsid w:val="56D96481"/>
    <w:rsid w:val="57E20F1E"/>
    <w:rsid w:val="58961C4B"/>
    <w:rsid w:val="59395F27"/>
    <w:rsid w:val="594E02C6"/>
    <w:rsid w:val="5A3C4E3C"/>
    <w:rsid w:val="5A945017"/>
    <w:rsid w:val="5D3907D1"/>
    <w:rsid w:val="5D7B4CBF"/>
    <w:rsid w:val="5E5C0AF7"/>
    <w:rsid w:val="5F2B41A9"/>
    <w:rsid w:val="5F3D6C16"/>
    <w:rsid w:val="5F690D7B"/>
    <w:rsid w:val="5F720655"/>
    <w:rsid w:val="5F8F03CD"/>
    <w:rsid w:val="5FAD2EC9"/>
    <w:rsid w:val="601452FA"/>
    <w:rsid w:val="60434444"/>
    <w:rsid w:val="608F4B78"/>
    <w:rsid w:val="60F512E9"/>
    <w:rsid w:val="61674E53"/>
    <w:rsid w:val="617550A7"/>
    <w:rsid w:val="623D7AC7"/>
    <w:rsid w:val="6245658C"/>
    <w:rsid w:val="627B1B57"/>
    <w:rsid w:val="635B4FC1"/>
    <w:rsid w:val="636A7D20"/>
    <w:rsid w:val="64161737"/>
    <w:rsid w:val="64DC7D5C"/>
    <w:rsid w:val="64EE6722"/>
    <w:rsid w:val="657821BF"/>
    <w:rsid w:val="661E3C9F"/>
    <w:rsid w:val="66E85953"/>
    <w:rsid w:val="672C3115"/>
    <w:rsid w:val="67371A9C"/>
    <w:rsid w:val="674330F3"/>
    <w:rsid w:val="67AF5A73"/>
    <w:rsid w:val="67CF07DB"/>
    <w:rsid w:val="68683D24"/>
    <w:rsid w:val="68FC6224"/>
    <w:rsid w:val="69A3009C"/>
    <w:rsid w:val="6AC11F4E"/>
    <w:rsid w:val="6AF824E1"/>
    <w:rsid w:val="6B1A476E"/>
    <w:rsid w:val="6DC36B30"/>
    <w:rsid w:val="6DE33587"/>
    <w:rsid w:val="6DE74D7A"/>
    <w:rsid w:val="6EF83F95"/>
    <w:rsid w:val="6F4305A8"/>
    <w:rsid w:val="6F4F745A"/>
    <w:rsid w:val="703B5971"/>
    <w:rsid w:val="709A5836"/>
    <w:rsid w:val="71071273"/>
    <w:rsid w:val="71907204"/>
    <w:rsid w:val="71D42333"/>
    <w:rsid w:val="729A2F7E"/>
    <w:rsid w:val="72D5153D"/>
    <w:rsid w:val="72F40CDD"/>
    <w:rsid w:val="72FB7E17"/>
    <w:rsid w:val="737768B9"/>
    <w:rsid w:val="74FD026F"/>
    <w:rsid w:val="75F66666"/>
    <w:rsid w:val="7695217E"/>
    <w:rsid w:val="769B49D0"/>
    <w:rsid w:val="76C04531"/>
    <w:rsid w:val="786917C8"/>
    <w:rsid w:val="79661221"/>
    <w:rsid w:val="79956CFB"/>
    <w:rsid w:val="79DC6234"/>
    <w:rsid w:val="79E05178"/>
    <w:rsid w:val="7A83274F"/>
    <w:rsid w:val="7AF63988"/>
    <w:rsid w:val="7BD61C27"/>
    <w:rsid w:val="7C3477DD"/>
    <w:rsid w:val="7C7752CE"/>
    <w:rsid w:val="7CE52560"/>
    <w:rsid w:val="7D4D3F02"/>
    <w:rsid w:val="7D4D4636"/>
    <w:rsid w:val="7E7C4FFF"/>
    <w:rsid w:val="7EEC68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nhideWhenUsed="0" w:uiPriority="9"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99"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34"/>
    <w:qFormat/>
    <w:uiPriority w:val="9"/>
    <w:pPr>
      <w:keepNext/>
      <w:keepLines/>
      <w:spacing w:beforeLines="100" w:afterLines="100" w:line="360" w:lineRule="auto"/>
      <w:jc w:val="center"/>
      <w:outlineLvl w:val="0"/>
    </w:pPr>
    <w:rPr>
      <w:rFonts w:eastAsia="黑体"/>
      <w:b/>
      <w:bCs/>
      <w:kern w:val="44"/>
      <w:sz w:val="32"/>
      <w:szCs w:val="44"/>
    </w:rPr>
  </w:style>
  <w:style w:type="paragraph" w:styleId="4">
    <w:name w:val="heading 2"/>
    <w:basedOn w:val="1"/>
    <w:next w:val="1"/>
    <w:link w:val="35"/>
    <w:unhideWhenUsed/>
    <w:qFormat/>
    <w:uiPriority w:val="0"/>
    <w:pPr>
      <w:keepNext/>
      <w:keepLines/>
      <w:spacing w:beforeLines="100" w:afterLines="100" w:line="360" w:lineRule="auto"/>
      <w:ind w:firstLine="200" w:firstLineChars="200"/>
      <w:outlineLvl w:val="1"/>
    </w:pPr>
    <w:rPr>
      <w:rFonts w:eastAsia="黑体" w:asciiTheme="majorHAnsi" w:hAnsiTheme="majorHAnsi" w:cstheme="majorBidi"/>
      <w:bCs/>
      <w:sz w:val="32"/>
      <w:szCs w:val="32"/>
    </w:rPr>
  </w:style>
  <w:style w:type="paragraph" w:styleId="5">
    <w:name w:val="heading 3"/>
    <w:basedOn w:val="1"/>
    <w:next w:val="6"/>
    <w:link w:val="36"/>
    <w:qFormat/>
    <w:uiPriority w:val="9"/>
    <w:pPr>
      <w:keepNext/>
      <w:keepLines/>
      <w:spacing w:before="120" w:after="120" w:line="360" w:lineRule="auto"/>
      <w:outlineLvl w:val="2"/>
    </w:pPr>
    <w:rPr>
      <w:rFonts w:ascii="黑体" w:hAnsi="Times New Roman" w:eastAsia="黑体" w:cs="Times New Roman"/>
      <w:sz w:val="30"/>
      <w:szCs w:val="20"/>
    </w:rPr>
  </w:style>
  <w:style w:type="paragraph" w:styleId="7">
    <w:name w:val="heading 4"/>
    <w:basedOn w:val="1"/>
    <w:next w:val="1"/>
    <w:link w:val="37"/>
    <w:unhideWhenUsed/>
    <w:qFormat/>
    <w:uiPriority w:val="0"/>
    <w:pPr>
      <w:keepNext/>
      <w:keepLines/>
      <w:spacing w:before="280" w:after="290" w:line="376" w:lineRule="atLeast"/>
      <w:ind w:firstLine="200" w:firstLineChars="200"/>
      <w:outlineLvl w:val="3"/>
    </w:pPr>
    <w:rPr>
      <w:rFonts w:asciiTheme="majorHAnsi" w:hAnsiTheme="majorHAnsi" w:eastAsiaTheme="majorEastAsia" w:cstheme="majorBidi"/>
      <w:b/>
      <w:bCs/>
      <w:sz w:val="28"/>
      <w:szCs w:val="2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2">
    <w:name w:val="样式 正文001 + 首行缩进:  2 字符1"/>
    <w:basedOn w:val="1"/>
    <w:qFormat/>
    <w:uiPriority w:val="99"/>
    <w:pPr>
      <w:spacing w:before="60" w:after="100" w:afterAutospacing="1" w:line="460" w:lineRule="exact"/>
      <w:ind w:firstLine="480" w:firstLineChars="200"/>
    </w:pPr>
    <w:rPr>
      <w:rFonts w:ascii="宋体" w:hAnsi="宋体"/>
      <w:sz w:val="24"/>
    </w:rPr>
  </w:style>
  <w:style w:type="paragraph" w:styleId="6">
    <w:name w:val="Normal Indent"/>
    <w:basedOn w:val="1"/>
    <w:unhideWhenUsed/>
    <w:qFormat/>
    <w:uiPriority w:val="99"/>
    <w:pPr>
      <w:ind w:firstLine="420" w:firstLineChars="200"/>
    </w:pPr>
  </w:style>
  <w:style w:type="paragraph" w:styleId="8">
    <w:name w:val="toc 7"/>
    <w:basedOn w:val="1"/>
    <w:next w:val="1"/>
    <w:unhideWhenUsed/>
    <w:qFormat/>
    <w:uiPriority w:val="39"/>
    <w:pPr>
      <w:ind w:left="2520" w:leftChars="1200"/>
    </w:pPr>
  </w:style>
  <w:style w:type="paragraph" w:styleId="9">
    <w:name w:val="caption"/>
    <w:basedOn w:val="1"/>
    <w:next w:val="1"/>
    <w:qFormat/>
    <w:uiPriority w:val="0"/>
    <w:pPr>
      <w:spacing w:after="50" w:afterLines="50"/>
    </w:pPr>
    <w:rPr>
      <w:rFonts w:ascii="Cambria" w:hAnsi="Cambria"/>
      <w:b/>
      <w:kern w:val="0"/>
    </w:rPr>
  </w:style>
  <w:style w:type="paragraph" w:styleId="10">
    <w:name w:val="annotation text"/>
    <w:basedOn w:val="1"/>
    <w:semiHidden/>
    <w:unhideWhenUsed/>
    <w:qFormat/>
    <w:uiPriority w:val="99"/>
    <w:pPr>
      <w:jc w:val="left"/>
    </w:pPr>
  </w:style>
  <w:style w:type="paragraph" w:styleId="11">
    <w:name w:val="Body Text"/>
    <w:basedOn w:val="1"/>
    <w:next w:val="1"/>
    <w:link w:val="33"/>
    <w:qFormat/>
    <w:uiPriority w:val="0"/>
    <w:pPr>
      <w:spacing w:after="120"/>
    </w:pPr>
    <w:rPr>
      <w:rFonts w:cs="Calibri"/>
      <w:szCs w:val="21"/>
    </w:rPr>
  </w:style>
  <w:style w:type="paragraph" w:styleId="12">
    <w:name w:val="Body Text Indent"/>
    <w:basedOn w:val="1"/>
    <w:link w:val="59"/>
    <w:semiHidden/>
    <w:unhideWhenUsed/>
    <w:qFormat/>
    <w:uiPriority w:val="99"/>
    <w:pPr>
      <w:spacing w:after="120"/>
      <w:ind w:left="420" w:leftChars="200"/>
    </w:pPr>
  </w:style>
  <w:style w:type="paragraph" w:styleId="13">
    <w:name w:val="toc 5"/>
    <w:basedOn w:val="1"/>
    <w:next w:val="1"/>
    <w:unhideWhenUsed/>
    <w:qFormat/>
    <w:uiPriority w:val="39"/>
    <w:pPr>
      <w:ind w:left="1680" w:leftChars="800"/>
    </w:pPr>
  </w:style>
  <w:style w:type="paragraph" w:styleId="14">
    <w:name w:val="toc 3"/>
    <w:basedOn w:val="1"/>
    <w:next w:val="1"/>
    <w:unhideWhenUsed/>
    <w:qFormat/>
    <w:uiPriority w:val="39"/>
    <w:pPr>
      <w:ind w:left="840" w:leftChars="400"/>
    </w:pPr>
  </w:style>
  <w:style w:type="paragraph" w:styleId="15">
    <w:name w:val="toc 8"/>
    <w:basedOn w:val="1"/>
    <w:next w:val="1"/>
    <w:unhideWhenUsed/>
    <w:qFormat/>
    <w:uiPriority w:val="39"/>
    <w:pPr>
      <w:ind w:left="2940" w:leftChars="1400"/>
    </w:pPr>
  </w:style>
  <w:style w:type="paragraph" w:styleId="16">
    <w:name w:val="Balloon Text"/>
    <w:basedOn w:val="1"/>
    <w:link w:val="38"/>
    <w:semiHidden/>
    <w:unhideWhenUsed/>
    <w:qFormat/>
    <w:uiPriority w:val="99"/>
    <w:rPr>
      <w:sz w:val="18"/>
      <w:szCs w:val="18"/>
    </w:rPr>
  </w:style>
  <w:style w:type="paragraph" w:styleId="17">
    <w:name w:val="footer"/>
    <w:basedOn w:val="1"/>
    <w:link w:val="39"/>
    <w:unhideWhenUsed/>
    <w:qFormat/>
    <w:uiPriority w:val="99"/>
    <w:pPr>
      <w:tabs>
        <w:tab w:val="center" w:pos="4153"/>
        <w:tab w:val="right" w:pos="8306"/>
      </w:tabs>
      <w:snapToGrid w:val="0"/>
      <w:jc w:val="left"/>
    </w:pPr>
    <w:rPr>
      <w:sz w:val="18"/>
      <w:szCs w:val="18"/>
    </w:rPr>
  </w:style>
  <w:style w:type="paragraph" w:styleId="18">
    <w:name w:val="header"/>
    <w:basedOn w:val="1"/>
    <w:link w:val="40"/>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toc 1"/>
    <w:basedOn w:val="1"/>
    <w:next w:val="1"/>
    <w:unhideWhenUsed/>
    <w:qFormat/>
    <w:uiPriority w:val="39"/>
  </w:style>
  <w:style w:type="paragraph" w:styleId="20">
    <w:name w:val="toc 4"/>
    <w:basedOn w:val="1"/>
    <w:next w:val="1"/>
    <w:unhideWhenUsed/>
    <w:qFormat/>
    <w:uiPriority w:val="39"/>
    <w:pPr>
      <w:ind w:left="1260" w:leftChars="600"/>
    </w:pPr>
  </w:style>
  <w:style w:type="paragraph" w:styleId="21">
    <w:name w:val="toc 6"/>
    <w:basedOn w:val="1"/>
    <w:next w:val="1"/>
    <w:unhideWhenUsed/>
    <w:qFormat/>
    <w:uiPriority w:val="39"/>
    <w:pPr>
      <w:ind w:left="2100" w:leftChars="1000"/>
    </w:pPr>
  </w:style>
  <w:style w:type="paragraph" w:styleId="22">
    <w:name w:val="toc 2"/>
    <w:basedOn w:val="1"/>
    <w:next w:val="1"/>
    <w:unhideWhenUsed/>
    <w:qFormat/>
    <w:uiPriority w:val="39"/>
    <w:pPr>
      <w:ind w:left="420" w:leftChars="200"/>
    </w:pPr>
  </w:style>
  <w:style w:type="paragraph" w:styleId="23">
    <w:name w:val="toc 9"/>
    <w:basedOn w:val="1"/>
    <w:next w:val="1"/>
    <w:unhideWhenUsed/>
    <w:qFormat/>
    <w:uiPriority w:val="39"/>
    <w:pPr>
      <w:ind w:left="3360" w:leftChars="1600"/>
    </w:pPr>
  </w:style>
  <w:style w:type="paragraph" w:styleId="24">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25">
    <w:name w:val="Body Text First Indent 2"/>
    <w:basedOn w:val="12"/>
    <w:link w:val="60"/>
    <w:unhideWhenUsed/>
    <w:qFormat/>
    <w:uiPriority w:val="99"/>
    <w:pPr>
      <w:spacing w:after="0"/>
      <w:ind w:left="200" w:firstLine="200" w:firstLineChars="200"/>
    </w:pPr>
    <w:rPr>
      <w:rFonts w:eastAsia="仿宋_GB2312"/>
      <w:kern w:val="32"/>
      <w:sz w:val="28"/>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Strong"/>
    <w:basedOn w:val="28"/>
    <w:qFormat/>
    <w:uiPriority w:val="0"/>
    <w:rPr>
      <w:b/>
      <w:bCs/>
    </w:rPr>
  </w:style>
  <w:style w:type="character" w:styleId="30">
    <w:name w:val="FollowedHyperlink"/>
    <w:basedOn w:val="28"/>
    <w:semiHidden/>
    <w:unhideWhenUsed/>
    <w:qFormat/>
    <w:uiPriority w:val="99"/>
    <w:rPr>
      <w:color w:val="800080"/>
      <w:u w:val="single"/>
    </w:rPr>
  </w:style>
  <w:style w:type="character" w:styleId="31">
    <w:name w:val="Hyperlink"/>
    <w:basedOn w:val="28"/>
    <w:unhideWhenUsed/>
    <w:qFormat/>
    <w:uiPriority w:val="99"/>
    <w:rPr>
      <w:color w:val="0000FF"/>
      <w:u w:val="single"/>
    </w:rPr>
  </w:style>
  <w:style w:type="character" w:styleId="32">
    <w:name w:val="annotation reference"/>
    <w:basedOn w:val="28"/>
    <w:semiHidden/>
    <w:unhideWhenUsed/>
    <w:qFormat/>
    <w:uiPriority w:val="99"/>
    <w:rPr>
      <w:sz w:val="21"/>
      <w:szCs w:val="21"/>
    </w:rPr>
  </w:style>
  <w:style w:type="character" w:customStyle="1" w:styleId="33">
    <w:name w:val="正文文本 Char"/>
    <w:basedOn w:val="28"/>
    <w:link w:val="11"/>
    <w:qFormat/>
    <w:uiPriority w:val="0"/>
    <w:rPr>
      <w:rFonts w:cs="Calibri"/>
      <w:szCs w:val="21"/>
    </w:rPr>
  </w:style>
  <w:style w:type="character" w:customStyle="1" w:styleId="34">
    <w:name w:val="标题 1 Char"/>
    <w:basedOn w:val="28"/>
    <w:link w:val="3"/>
    <w:qFormat/>
    <w:uiPriority w:val="9"/>
    <w:rPr>
      <w:rFonts w:eastAsia="黑体"/>
      <w:b/>
      <w:bCs/>
      <w:kern w:val="44"/>
      <w:sz w:val="32"/>
      <w:szCs w:val="44"/>
    </w:rPr>
  </w:style>
  <w:style w:type="character" w:customStyle="1" w:styleId="35">
    <w:name w:val="标题 2 Char1"/>
    <w:basedOn w:val="28"/>
    <w:link w:val="4"/>
    <w:qFormat/>
    <w:uiPriority w:val="0"/>
    <w:rPr>
      <w:rFonts w:eastAsia="黑体" w:asciiTheme="majorHAnsi" w:hAnsiTheme="majorHAnsi" w:cstheme="majorBidi"/>
      <w:bCs/>
      <w:sz w:val="32"/>
      <w:szCs w:val="32"/>
    </w:rPr>
  </w:style>
  <w:style w:type="character" w:customStyle="1" w:styleId="36">
    <w:name w:val="标题 3 Char"/>
    <w:basedOn w:val="28"/>
    <w:link w:val="5"/>
    <w:qFormat/>
    <w:uiPriority w:val="9"/>
    <w:rPr>
      <w:rFonts w:ascii="黑体" w:hAnsi="Times New Roman" w:eastAsia="黑体" w:cs="Times New Roman"/>
      <w:sz w:val="30"/>
      <w:szCs w:val="20"/>
    </w:rPr>
  </w:style>
  <w:style w:type="character" w:customStyle="1" w:styleId="37">
    <w:name w:val="标题 4 Char"/>
    <w:basedOn w:val="28"/>
    <w:link w:val="7"/>
    <w:qFormat/>
    <w:uiPriority w:val="0"/>
    <w:rPr>
      <w:rFonts w:asciiTheme="majorHAnsi" w:hAnsiTheme="majorHAnsi" w:eastAsiaTheme="majorEastAsia" w:cstheme="majorBidi"/>
      <w:b/>
      <w:bCs/>
      <w:sz w:val="28"/>
      <w:szCs w:val="28"/>
    </w:rPr>
  </w:style>
  <w:style w:type="character" w:customStyle="1" w:styleId="38">
    <w:name w:val="批注框文本 Char"/>
    <w:basedOn w:val="28"/>
    <w:link w:val="16"/>
    <w:semiHidden/>
    <w:qFormat/>
    <w:uiPriority w:val="99"/>
    <w:rPr>
      <w:sz w:val="18"/>
      <w:szCs w:val="18"/>
    </w:rPr>
  </w:style>
  <w:style w:type="character" w:customStyle="1" w:styleId="39">
    <w:name w:val="页脚 Char"/>
    <w:basedOn w:val="28"/>
    <w:link w:val="17"/>
    <w:qFormat/>
    <w:uiPriority w:val="99"/>
    <w:rPr>
      <w:sz w:val="18"/>
      <w:szCs w:val="18"/>
    </w:rPr>
  </w:style>
  <w:style w:type="character" w:customStyle="1" w:styleId="40">
    <w:name w:val="页眉 Char"/>
    <w:basedOn w:val="28"/>
    <w:link w:val="18"/>
    <w:qFormat/>
    <w:uiPriority w:val="99"/>
    <w:rPr>
      <w:sz w:val="18"/>
      <w:szCs w:val="18"/>
    </w:rPr>
  </w:style>
  <w:style w:type="paragraph" w:customStyle="1" w:styleId="41">
    <w:name w:val="正文文本 21"/>
    <w:basedOn w:val="1"/>
    <w:next w:val="1"/>
    <w:qFormat/>
    <w:uiPriority w:val="0"/>
    <w:pPr>
      <w:spacing w:line="480" w:lineRule="auto"/>
    </w:pPr>
    <w:rPr>
      <w:rFonts w:ascii="Times New Roman" w:hAnsi="Times New Roman"/>
    </w:rPr>
  </w:style>
  <w:style w:type="character" w:customStyle="1" w:styleId="42">
    <w:name w:val="标题 2 Char"/>
    <w:basedOn w:val="28"/>
    <w:semiHidden/>
    <w:qFormat/>
    <w:uiPriority w:val="9"/>
    <w:rPr>
      <w:rFonts w:asciiTheme="majorHAnsi" w:hAnsiTheme="majorHAnsi" w:eastAsiaTheme="majorEastAsia" w:cstheme="majorBidi"/>
      <w:b/>
      <w:bCs/>
      <w:sz w:val="32"/>
      <w:szCs w:val="32"/>
    </w:rPr>
  </w:style>
  <w:style w:type="character" w:customStyle="1" w:styleId="43">
    <w:name w:val="日期1"/>
    <w:basedOn w:val="28"/>
    <w:qFormat/>
    <w:uiPriority w:val="0"/>
  </w:style>
  <w:style w:type="character" w:customStyle="1" w:styleId="44">
    <w:name w:val="source"/>
    <w:basedOn w:val="28"/>
    <w:qFormat/>
    <w:uiPriority w:val="0"/>
  </w:style>
  <w:style w:type="character" w:customStyle="1" w:styleId="45">
    <w:name w:val="editors"/>
    <w:basedOn w:val="28"/>
    <w:qFormat/>
    <w:uiPriority w:val="0"/>
  </w:style>
  <w:style w:type="paragraph" w:styleId="46">
    <w:name w:val="List Paragraph"/>
    <w:basedOn w:val="1"/>
    <w:qFormat/>
    <w:uiPriority w:val="34"/>
    <w:pPr>
      <w:ind w:firstLine="420" w:firstLineChars="200"/>
    </w:pPr>
  </w:style>
  <w:style w:type="character" w:customStyle="1" w:styleId="47">
    <w:name w:val="标题 1 Char1"/>
    <w:basedOn w:val="28"/>
    <w:qFormat/>
    <w:uiPriority w:val="9"/>
    <w:rPr>
      <w:rFonts w:eastAsia="黑体"/>
      <w:b/>
      <w:bCs/>
      <w:kern w:val="44"/>
      <w:sz w:val="32"/>
      <w:szCs w:val="44"/>
    </w:rPr>
  </w:style>
  <w:style w:type="character" w:customStyle="1" w:styleId="48">
    <w:name w:val="标题 2 Char2"/>
    <w:basedOn w:val="28"/>
    <w:qFormat/>
    <w:uiPriority w:val="9"/>
    <w:rPr>
      <w:rFonts w:eastAsia="黑体" w:asciiTheme="majorHAnsi" w:hAnsiTheme="majorHAnsi" w:cstheme="majorBidi"/>
      <w:bCs/>
      <w:sz w:val="32"/>
      <w:szCs w:val="32"/>
    </w:rPr>
  </w:style>
  <w:style w:type="paragraph" w:customStyle="1" w:styleId="49">
    <w:name w:val="列出段落1"/>
    <w:basedOn w:val="1"/>
    <w:qFormat/>
    <w:uiPriority w:val="34"/>
    <w:pPr>
      <w:spacing w:line="560" w:lineRule="exact"/>
      <w:ind w:firstLine="420" w:firstLineChars="200"/>
    </w:pPr>
    <w:rPr>
      <w:rFonts w:ascii="Times New Roman" w:hAnsi="Times New Roman" w:eastAsia="仿宋_GB2312" w:cs="Times New Roman"/>
      <w:sz w:val="32"/>
    </w:rPr>
  </w:style>
  <w:style w:type="paragraph" w:customStyle="1" w:styleId="50">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51">
    <w:name w:val="western"/>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customStyle="1" w:styleId="52">
    <w:name w:val="jiathis_txt"/>
    <w:basedOn w:val="28"/>
    <w:qFormat/>
    <w:uiPriority w:val="0"/>
  </w:style>
  <w:style w:type="character" w:customStyle="1" w:styleId="53">
    <w:name w:val="apple-converted-space"/>
    <w:basedOn w:val="28"/>
    <w:qFormat/>
    <w:uiPriority w:val="0"/>
  </w:style>
  <w:style w:type="paragraph" w:customStyle="1" w:styleId="54">
    <w:name w:val="正文首行缩进1"/>
    <w:basedOn w:val="11"/>
    <w:qFormat/>
    <w:uiPriority w:val="0"/>
    <w:pPr>
      <w:ind w:firstLine="420" w:firstLineChars="100"/>
    </w:pPr>
  </w:style>
  <w:style w:type="paragraph" w:customStyle="1" w:styleId="55">
    <w:name w:val="普通(网站)11"/>
    <w:basedOn w:val="1"/>
    <w:qFormat/>
    <w:uiPriority w:val="0"/>
    <w:pPr>
      <w:spacing w:before="100" w:beforeAutospacing="1" w:after="100" w:afterAutospacing="1"/>
      <w:jc w:val="left"/>
    </w:pPr>
    <w:rPr>
      <w:kern w:val="0"/>
      <w:sz w:val="24"/>
    </w:rPr>
  </w:style>
  <w:style w:type="paragraph" w:customStyle="1" w:styleId="56">
    <w:name w:val="2级标题"/>
    <w:basedOn w:val="4"/>
    <w:qFormat/>
    <w:uiPriority w:val="0"/>
    <w:pPr>
      <w:widowControl/>
      <w:numPr>
        <w:ilvl w:val="0"/>
        <w:numId w:val="1"/>
      </w:numPr>
      <w:tabs>
        <w:tab w:val="left" w:pos="567"/>
        <w:tab w:val="left" w:pos="3970"/>
      </w:tabs>
      <w:spacing w:before="260" w:after="260" w:line="300" w:lineRule="auto"/>
      <w:jc w:val="left"/>
    </w:pPr>
  </w:style>
  <w:style w:type="paragraph" w:customStyle="1" w:styleId="57">
    <w:name w:val="文本正文"/>
    <w:basedOn w:val="1"/>
    <w:qFormat/>
    <w:uiPriority w:val="0"/>
    <w:pPr>
      <w:adjustRightInd w:val="0"/>
      <w:snapToGrid w:val="0"/>
      <w:spacing w:line="360" w:lineRule="auto"/>
      <w:ind w:firstLine="200" w:firstLineChars="200"/>
    </w:pPr>
    <w:rPr>
      <w:sz w:val="28"/>
      <w:lang w:val="zh-CN"/>
    </w:rPr>
  </w:style>
  <w:style w:type="paragraph" w:customStyle="1" w:styleId="58">
    <w:name w:val="TOC 标题1"/>
    <w:basedOn w:val="3"/>
    <w:next w:val="1"/>
    <w:unhideWhenUsed/>
    <w:qFormat/>
    <w:uiPriority w:val="39"/>
    <w:pPr>
      <w:widowControl/>
      <w:spacing w:before="240" w:beforeLines="0" w:afterLines="0" w:line="259" w:lineRule="auto"/>
      <w:jc w:val="left"/>
      <w:outlineLvl w:val="9"/>
    </w:pPr>
    <w:rPr>
      <w:rFonts w:asciiTheme="majorHAnsi" w:hAnsiTheme="majorHAnsi" w:eastAsiaTheme="majorEastAsia" w:cstheme="majorBidi"/>
      <w:b w:val="0"/>
      <w:bCs w:val="0"/>
      <w:color w:val="2E75B6" w:themeColor="accent1" w:themeShade="BF"/>
      <w:kern w:val="0"/>
      <w:szCs w:val="32"/>
    </w:rPr>
  </w:style>
  <w:style w:type="character" w:customStyle="1" w:styleId="59">
    <w:name w:val="正文文本缩进 Char"/>
    <w:basedOn w:val="28"/>
    <w:link w:val="12"/>
    <w:semiHidden/>
    <w:qFormat/>
    <w:uiPriority w:val="99"/>
    <w:rPr>
      <w:kern w:val="2"/>
      <w:sz w:val="21"/>
      <w:szCs w:val="22"/>
    </w:rPr>
  </w:style>
  <w:style w:type="character" w:customStyle="1" w:styleId="60">
    <w:name w:val="正文首行缩进 2 Char"/>
    <w:basedOn w:val="59"/>
    <w:link w:val="25"/>
    <w:qFormat/>
    <w:uiPriority w:val="99"/>
    <w:rPr>
      <w:rFonts w:eastAsia="仿宋_GB2312"/>
      <w:kern w:val="32"/>
      <w:sz w:val="28"/>
      <w:szCs w:val="22"/>
    </w:rPr>
  </w:style>
  <w:style w:type="paragraph" w:customStyle="1" w:styleId="61">
    <w:name w:val="Char"/>
    <w:basedOn w:val="1"/>
    <w:qFormat/>
    <w:uiPriority w:val="0"/>
    <w:rPr>
      <w:rFonts w:ascii="Times New Roman" w:hAnsi="Times New Roman" w:eastAsia="宋体" w:cs="Times New Roman"/>
      <w:szCs w:val="24"/>
    </w:rPr>
  </w:style>
  <w:style w:type="character" w:customStyle="1" w:styleId="62">
    <w:name w:val="Unresolved Mention"/>
    <w:basedOn w:val="28"/>
    <w:semiHidden/>
    <w:unhideWhenUsed/>
    <w:qFormat/>
    <w:uiPriority w:val="99"/>
    <w:rPr>
      <w:color w:val="605E5C"/>
      <w:shd w:val="clear" w:color="auto" w:fill="E1DFDD"/>
    </w:rPr>
  </w:style>
  <w:style w:type="paragraph" w:customStyle="1" w:styleId="63">
    <w:name w:val="_Style 19"/>
    <w:basedOn w:val="1"/>
    <w:qFormat/>
    <w:uiPriority w:val="0"/>
    <w:pPr>
      <w:spacing w:before="156" w:after="156" w:line="300" w:lineRule="auto"/>
      <w:ind w:firstLine="200" w:firstLineChars="200"/>
    </w:pPr>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72857D-1DC1-4DE9-9E43-2BB54F80F961}">
  <ds:schemaRefs/>
</ds:datastoreItem>
</file>

<file path=docProps/app.xml><?xml version="1.0" encoding="utf-8"?>
<Properties xmlns="http://schemas.openxmlformats.org/officeDocument/2006/extended-properties" xmlns:vt="http://schemas.openxmlformats.org/officeDocument/2006/docPropsVTypes">
  <Template>Normal</Template>
  <Pages>143</Pages>
  <Words>73168</Words>
  <Characters>74317</Characters>
  <Lines>645</Lines>
  <Paragraphs>181</Paragraphs>
  <TotalTime>311</TotalTime>
  <ScaleCrop>false</ScaleCrop>
  <LinksUpToDate>false</LinksUpToDate>
  <CharactersWithSpaces>86377</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2021-01-30T12:19:00Z</dcterms:created>
  <dc:creator>cjl</dc:creator>
  <cp:lastModifiedBy>四通印务</cp:lastModifiedBy>
  <cp:lastPrinted>2021-07-17T05:10:20Z</cp:lastPrinted>
  <dcterms:modified xsi:type="dcterms:W3CDTF">2021-07-17T11:09:35Z</dcterms:modified>
  <cp:revision>252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8C0D034304F643DBA55AEC949F34046C</vt:lpwstr>
  </property>
</Properties>
</file>