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AF4632">
      <w:pPr>
        <w:jc w:val="center"/>
        <w:rPr>
          <w:rFonts w:hint="eastAsia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2025年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上半年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主要指标完成情况</w:t>
      </w:r>
    </w:p>
    <w:p w14:paraId="26E75C59">
      <w:pPr>
        <w:rPr>
          <w:rFonts w:hint="eastAsia"/>
        </w:rPr>
      </w:pPr>
    </w:p>
    <w:p w14:paraId="03986597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一、地区生产总值</w:t>
      </w:r>
    </w:p>
    <w:p w14:paraId="1BFA93CF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初步核算，2025年上半年，全县地区生产总值171.03亿元，按不变价格计算，同比增长5.1%（全市6.7%），较一季度提高4个百分点，较去年上半年提高5个百分点，与全市差距进一步缩小。</w:t>
      </w:r>
    </w:p>
    <w:p w14:paraId="6F2C8FBA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分产业看，第一产业增加值28.97亿元，同比增长2.7%，比一季度回落0.1个百分点；第二产业增加值54.07亿元，同比下降1.1%，降幅大幅收窄，比一季度收窄9.7个百分点；第三产业增加值87.99亿元，同比增长10.4%，比一季度提高0.5个百分点。全县三次产业结构为16.9：31.6：51.5。第三产业增加值占地区生产总值的比重（51.5%）比去年同期（49.4%）提高2.1个百分点。</w:t>
      </w:r>
    </w:p>
    <w:p w14:paraId="0A350B50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从贡献率看，全县可比价增量8.44亿元。一产贡献率为9.6%，贡献增量0.81亿元；二产贡献率-7.6%，贡献增量-0.64亿元；三产贡献率98.0%，贡献增量8.27亿元。</w:t>
      </w:r>
    </w:p>
    <w:p w14:paraId="1B707CFE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从拉动点看，全县地区生产总值增长5.1%，一、二、三产拉动点分别为0.5、-0.4、5.0个百分点。</w:t>
      </w:r>
    </w:p>
    <w:p w14:paraId="306EFE78"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二、</w:t>
      </w:r>
      <w:r>
        <w:rPr>
          <w:rFonts w:hint="eastAsia" w:ascii="黑体" w:hAnsi="黑体" w:eastAsia="黑体" w:cs="黑体"/>
          <w:sz w:val="32"/>
          <w:szCs w:val="32"/>
        </w:rPr>
        <w:t>工业增加值</w:t>
      </w:r>
    </w:p>
    <w:p w14:paraId="51A2081D"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市局反馈，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月份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当月</w:t>
      </w:r>
      <w:r>
        <w:rPr>
          <w:rFonts w:hint="eastAsia" w:ascii="仿宋_GB2312" w:hAnsi="仿宋_GB2312" w:eastAsia="仿宋_GB2312" w:cs="仿宋_GB2312"/>
          <w:sz w:val="32"/>
          <w:szCs w:val="32"/>
        </w:rPr>
        <w:t>全县规模以上工业增加值同比增长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11.7</w:t>
      </w:r>
      <w:r>
        <w:rPr>
          <w:rFonts w:hint="eastAsia" w:ascii="仿宋_GB2312" w:hAnsi="仿宋_GB2312" w:eastAsia="仿宋_GB2312" w:cs="仿宋_GB2312"/>
          <w:sz w:val="32"/>
          <w:szCs w:val="32"/>
        </w:rPr>
        <w:t>%（全市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8.7</w:t>
      </w:r>
      <w:r>
        <w:rPr>
          <w:rFonts w:hint="eastAsia" w:ascii="仿宋_GB2312" w:hAnsi="仿宋_GB2312" w:eastAsia="仿宋_GB2312" w:cs="仿宋_GB2312"/>
          <w:sz w:val="32"/>
          <w:szCs w:val="32"/>
        </w:rPr>
        <w:t>%）。1-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月份，全县规模以上工业增加值同比下降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.0%，比1-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月份收窄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个百分点（全市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7.6</w:t>
      </w:r>
      <w:r>
        <w:rPr>
          <w:rFonts w:hint="eastAsia" w:ascii="仿宋_GB2312" w:hAnsi="仿宋_GB2312" w:eastAsia="仿宋_GB2312" w:cs="仿宋_GB2312"/>
          <w:sz w:val="32"/>
          <w:szCs w:val="32"/>
        </w:rPr>
        <w:t>%）。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较一季度收窄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12个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百分点，其中制造业增加值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1-6月份增速-4.4%，较一季度收窄17个百分点。</w:t>
      </w:r>
    </w:p>
    <w:p w14:paraId="076D517B"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eastAsia="zh-CN"/>
        </w:rPr>
        <w:t>三</w:t>
      </w:r>
      <w:r>
        <w:rPr>
          <w:rFonts w:hint="eastAsia" w:ascii="黑体" w:hAnsi="黑体" w:eastAsia="黑体" w:cs="黑体"/>
          <w:sz w:val="32"/>
          <w:szCs w:val="32"/>
        </w:rPr>
        <w:t>、固定资产投资</w:t>
      </w:r>
    </w:p>
    <w:p w14:paraId="7327F0B0"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上半年</w:t>
      </w:r>
      <w:r>
        <w:rPr>
          <w:rFonts w:hint="eastAsia" w:ascii="仿宋_GB2312" w:hAnsi="仿宋_GB2312" w:eastAsia="仿宋_GB2312" w:cs="仿宋_GB2312"/>
          <w:sz w:val="32"/>
          <w:szCs w:val="32"/>
        </w:rPr>
        <w:t>，全县固定资产投资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完成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24.3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亿元，</w:t>
      </w:r>
      <w:r>
        <w:rPr>
          <w:rFonts w:hint="eastAsia" w:ascii="仿宋_GB2312" w:hAnsi="仿宋_GB2312" w:eastAsia="仿宋_GB2312" w:cs="仿宋_GB2312"/>
          <w:sz w:val="32"/>
          <w:szCs w:val="32"/>
        </w:rPr>
        <w:t>同比增长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7.4</w:t>
      </w:r>
      <w:r>
        <w:rPr>
          <w:rFonts w:hint="eastAsia" w:ascii="仿宋_GB2312" w:hAnsi="仿宋_GB2312" w:eastAsia="仿宋_GB2312" w:cs="仿宋_GB2312"/>
          <w:sz w:val="32"/>
          <w:szCs w:val="32"/>
        </w:rPr>
        <w:t>%（全市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6.8</w:t>
      </w:r>
      <w:r>
        <w:rPr>
          <w:rFonts w:hint="eastAsia" w:ascii="仿宋_GB2312" w:hAnsi="仿宋_GB2312" w:eastAsia="仿宋_GB2312" w:cs="仿宋_GB2312"/>
          <w:sz w:val="32"/>
          <w:szCs w:val="32"/>
        </w:rPr>
        <w:t>%）。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其中，房地产开发投资增速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-6.7%</w:t>
      </w:r>
      <w:r>
        <w:rPr>
          <w:rFonts w:hint="eastAsia" w:ascii="仿宋_GB2312" w:hAnsi="仿宋_GB2312" w:eastAsia="仿宋_GB2312" w:cs="仿宋_GB2312"/>
          <w:sz w:val="32"/>
          <w:szCs w:val="32"/>
        </w:rPr>
        <w:t>（全市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-7.0</w:t>
      </w:r>
      <w:r>
        <w:rPr>
          <w:rFonts w:hint="eastAsia" w:ascii="仿宋_GB2312" w:hAnsi="仿宋_GB2312" w:eastAsia="仿宋_GB2312" w:cs="仿宋_GB2312"/>
          <w:sz w:val="32"/>
          <w:szCs w:val="32"/>
        </w:rPr>
        <w:t>%）</w:t>
      </w:r>
    </w:p>
    <w:p w14:paraId="400B47F5"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</w:t>
      </w:r>
      <w:r>
        <w:rPr>
          <w:rFonts w:hint="eastAsia" w:ascii="黑体" w:hAnsi="黑体" w:eastAsia="黑体" w:cs="黑体"/>
          <w:sz w:val="32"/>
          <w:szCs w:val="32"/>
        </w:rPr>
        <w:t>、社会消费品零售总额</w:t>
      </w:r>
    </w:p>
    <w:p w14:paraId="4C9F6E27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月份，全县社会消费品零售总额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9.89</w:t>
      </w:r>
      <w:r>
        <w:rPr>
          <w:rFonts w:hint="eastAsia" w:ascii="仿宋_GB2312" w:hAnsi="仿宋_GB2312" w:eastAsia="仿宋_GB2312" w:cs="仿宋_GB2312"/>
          <w:sz w:val="32"/>
          <w:szCs w:val="32"/>
        </w:rPr>
        <w:t>亿元，同比增长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5.6</w:t>
      </w:r>
      <w:r>
        <w:rPr>
          <w:rFonts w:hint="eastAsia" w:ascii="仿宋_GB2312" w:hAnsi="仿宋_GB2312" w:eastAsia="仿宋_GB2312" w:cs="仿宋_GB2312"/>
          <w:sz w:val="32"/>
          <w:szCs w:val="32"/>
        </w:rPr>
        <w:t>%（全市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5.0</w:t>
      </w:r>
      <w:r>
        <w:rPr>
          <w:rFonts w:hint="eastAsia" w:ascii="仿宋_GB2312" w:hAnsi="仿宋_GB2312" w:eastAsia="仿宋_GB2312" w:cs="仿宋_GB2312"/>
          <w:sz w:val="32"/>
          <w:szCs w:val="32"/>
        </w:rPr>
        <w:t>%）。1-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月份全县社会消费品零售总额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64</w:t>
      </w:r>
      <w:r>
        <w:rPr>
          <w:rFonts w:hint="eastAsia" w:ascii="仿宋_GB2312" w:hAnsi="仿宋_GB2312" w:eastAsia="仿宋_GB2312" w:cs="仿宋_GB2312"/>
          <w:sz w:val="32"/>
          <w:szCs w:val="32"/>
        </w:rPr>
        <w:t>亿元，同比增长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7.6</w:t>
      </w:r>
      <w:r>
        <w:rPr>
          <w:rFonts w:hint="eastAsia" w:ascii="仿宋_GB2312" w:hAnsi="仿宋_GB2312" w:eastAsia="仿宋_GB2312" w:cs="仿宋_GB2312"/>
          <w:sz w:val="32"/>
          <w:szCs w:val="32"/>
        </w:rPr>
        <w:t>%（全市7.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%）。</w:t>
      </w:r>
    </w:p>
    <w:p w14:paraId="470D932D">
      <w:pPr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五、</w:t>
      </w:r>
      <w:r>
        <w:rPr>
          <w:rFonts w:hint="eastAsia" w:ascii="黑体" w:hAnsi="黑体" w:eastAsia="黑体" w:cs="黑体"/>
          <w:sz w:val="32"/>
          <w:szCs w:val="32"/>
        </w:rPr>
        <w:t>一般公共预算收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支</w:t>
      </w:r>
    </w:p>
    <w:p w14:paraId="276BFE24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截止6月底，全县一般公共预算收入当月完成1.14亿元，累计完成7.8亿元，完成年初预算（14.97亿元）的52.1%，高于序时进度2.1个百分点，较上年同期（7.75亿元）增长0.6%，低于全市平均水平1.5个百分点。其中：税收收入完成4.64亿元，非税收入完成3.16亿元，税占比为59.44%；全县一般公共预算支出当月完成5.54亿元，累计完成33.1亿元，较上年同期（33.06亿元）增长0.1%，高于全市平均水平7.5个百分点，居县市区排名第5位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（数据来源县财政局）</w:t>
      </w:r>
    </w:p>
    <w:p w14:paraId="176FDCCC"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六</w:t>
      </w:r>
      <w:r>
        <w:rPr>
          <w:rFonts w:hint="eastAsia" w:ascii="黑体" w:hAnsi="黑体" w:eastAsia="黑体" w:cs="黑体"/>
          <w:sz w:val="32"/>
          <w:szCs w:val="32"/>
        </w:rPr>
        <w:t>、公路客货运周转量</w:t>
      </w:r>
    </w:p>
    <w:p w14:paraId="16018BF2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1-6</w:t>
      </w:r>
      <w:r>
        <w:rPr>
          <w:rFonts w:hint="eastAsia" w:ascii="仿宋_GB2312" w:hAnsi="仿宋_GB2312" w:eastAsia="仿宋_GB2312" w:cs="仿宋_GB2312"/>
          <w:sz w:val="32"/>
          <w:szCs w:val="32"/>
        </w:rPr>
        <w:t>月份商水县公路客货运周转量增幅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2.02</w:t>
      </w:r>
      <w:r>
        <w:rPr>
          <w:rFonts w:hint="eastAsia" w:ascii="仿宋_GB2312" w:hAnsi="仿宋_GB2312" w:eastAsia="仿宋_GB2312" w:cs="仿宋_GB2312"/>
          <w:sz w:val="32"/>
          <w:szCs w:val="32"/>
        </w:rPr>
        <w:t>%，较全市增幅（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1.82</w:t>
      </w:r>
      <w:r>
        <w:rPr>
          <w:rFonts w:hint="eastAsia" w:ascii="仿宋_GB2312" w:hAnsi="仿宋_GB2312" w:eastAsia="仿宋_GB2312" w:cs="仿宋_GB2312"/>
          <w:sz w:val="32"/>
          <w:szCs w:val="32"/>
        </w:rPr>
        <w:t>%）高0.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个百分点。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综合</w:t>
      </w:r>
      <w:r>
        <w:rPr>
          <w:rFonts w:hint="eastAsia" w:ascii="仿宋_GB2312" w:hAnsi="仿宋_GB2312" w:eastAsia="仿宋_GB2312" w:cs="仿宋_GB2312"/>
          <w:sz w:val="32"/>
          <w:szCs w:val="32"/>
        </w:rPr>
        <w:t>排名第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。（数据来源县交通局）</w:t>
      </w:r>
    </w:p>
    <w:p w14:paraId="4F7A1CFD">
      <w:pPr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七、邮政业务总量</w:t>
      </w:r>
    </w:p>
    <w:p w14:paraId="2550BA09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1-5</w:t>
      </w:r>
      <w:r>
        <w:rPr>
          <w:rFonts w:hint="eastAsia" w:ascii="仿宋_GB2312" w:hAnsi="仿宋_GB2312" w:eastAsia="仿宋_GB2312" w:cs="仿宋_GB2312"/>
          <w:sz w:val="32"/>
          <w:szCs w:val="32"/>
        </w:rPr>
        <w:t>月份商水县邮政业务总量同比增长30.13%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（错月数据）</w:t>
      </w:r>
      <w:r>
        <w:rPr>
          <w:rFonts w:hint="eastAsia" w:ascii="仿宋_GB2312" w:hAnsi="仿宋_GB2312" w:eastAsia="仿宋_GB2312" w:cs="仿宋_GB2312"/>
          <w:sz w:val="32"/>
          <w:szCs w:val="32"/>
        </w:rPr>
        <w:t>，较全市增幅（33.34%）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低</w:t>
      </w:r>
      <w:r>
        <w:rPr>
          <w:rFonts w:hint="eastAsia" w:ascii="仿宋_GB2312" w:hAnsi="仿宋_GB2312" w:eastAsia="仿宋_GB2312" w:cs="仿宋_GB2312"/>
          <w:sz w:val="32"/>
          <w:szCs w:val="32"/>
        </w:rPr>
        <w:t>3.21个百分点。排名第8位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。（数据来源县交通局）</w:t>
      </w:r>
    </w:p>
    <w:p w14:paraId="0F511173">
      <w:pPr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八、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工业用电量</w:t>
      </w:r>
    </w:p>
    <w:p w14:paraId="6B454CDE">
      <w:pPr>
        <w:numPr>
          <w:ilvl w:val="0"/>
          <w:numId w:val="0"/>
        </w:numPr>
        <w:ind w:firstLine="646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1-6月份，商水工业用电量累计26798.76万千瓦时（含隆达厂用电），占全市总量的8.37%，较去年同期增加415万千瓦时，同比增速1.57%，在十一个县市中排名第9。</w:t>
      </w:r>
    </w:p>
    <w:p w14:paraId="1C3C18E6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扣除隆达电厂用电因素，1-6月工业电量累计17696.61万千瓦时，同比增速10.55%，在十一个县市中排名第5。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（数据来源县供电公司）</w:t>
      </w:r>
    </w:p>
    <w:p w14:paraId="68827953">
      <w:pPr>
        <w:numPr>
          <w:ilvl w:val="0"/>
          <w:numId w:val="0"/>
        </w:numPr>
        <w:ind w:firstLine="646" w:firstLine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九、金融机构各项存贷款余额</w:t>
      </w:r>
    </w:p>
    <w:p w14:paraId="6940CE23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截止6月底，商水各项存款为579.02亿元，比年初增加41.74亿元，增长7.78%，增速排名7名；各项贷款为240.48亿元，比年初增加21.8亿元，增长9.97%，增速排2名。存贷比为41.5%，新增存贷比为52.2%。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（数据来源县金融监管局）</w:t>
      </w:r>
    </w:p>
    <w:p w14:paraId="5BADF73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480" w:lineRule="auto"/>
        <w:ind w:firstLine="640" w:firstLineChars="200"/>
        <w:jc w:val="both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十、居民收入</w:t>
      </w:r>
    </w:p>
    <w:p w14:paraId="4C9B923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480" w:lineRule="auto"/>
        <w:ind w:firstLine="640" w:firstLineChars="200"/>
        <w:jc w:val="both"/>
        <w:rPr>
          <w:rFonts w:hint="eastAsia" w:ascii="仿宋_GB2312" w:hAnsi="仿宋_GB2312" w:eastAsia="仿宋_GB2312" w:cs="仿宋_GB2312"/>
          <w:strike w:val="0"/>
          <w:dstrike w:val="0"/>
          <w:color w:val="000000"/>
          <w:sz w:val="32"/>
          <w:szCs w:val="32"/>
          <w:u w:val="none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上半年，全体居民人均可支配收入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11768.3元，同比增长5.9%，增速比省（5.5%）、市（5.8%）分别高0.4、0.1个百分点</w:t>
      </w:r>
      <w:r>
        <w:rPr>
          <w:rFonts w:hint="eastAsia" w:ascii="仿宋_GB2312" w:hAnsi="仿宋_GB2312" w:eastAsia="仿宋_GB2312" w:cs="仿宋_GB2312"/>
          <w:strike w:val="0"/>
          <w:dstrike w:val="0"/>
          <w:color w:val="000000"/>
          <w:sz w:val="32"/>
          <w:szCs w:val="32"/>
          <w:u w:val="none"/>
          <w:lang w:val="en-US" w:eastAsia="zh-CN"/>
        </w:rPr>
        <w:t>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城镇居民人均可支配收入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17515.2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元，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比增长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4.8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，增速与全省持平，比全市（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5.1%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）低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0.3个百分点。</w:t>
      </w:r>
      <w:r>
        <w:rPr>
          <w:rFonts w:hint="eastAsia" w:ascii="仿宋_GB2312" w:hAnsi="仿宋_GB2312" w:eastAsia="仿宋_GB2312" w:cs="仿宋_GB2312"/>
          <w:strike w:val="0"/>
          <w:color w:val="000000"/>
          <w:sz w:val="32"/>
          <w:szCs w:val="32"/>
        </w:rPr>
        <w:t>农村居民人均</w:t>
      </w:r>
      <w:r>
        <w:rPr>
          <w:rFonts w:hint="eastAsia" w:ascii="仿宋_GB2312" w:hAnsi="仿宋_GB2312" w:eastAsia="仿宋_GB2312" w:cs="仿宋_GB2312"/>
          <w:strike w:val="0"/>
          <w:color w:val="000000"/>
          <w:sz w:val="32"/>
          <w:szCs w:val="32"/>
          <w:lang w:eastAsia="zh-CN"/>
        </w:rPr>
        <w:t>可</w:t>
      </w:r>
      <w:r>
        <w:rPr>
          <w:rFonts w:hint="eastAsia" w:ascii="仿宋_GB2312" w:hAnsi="仿宋_GB2312" w:eastAsia="仿宋_GB2312" w:cs="仿宋_GB2312"/>
          <w:strike w:val="0"/>
          <w:color w:val="000000"/>
          <w:sz w:val="32"/>
          <w:szCs w:val="32"/>
        </w:rPr>
        <w:t>支配收入</w:t>
      </w:r>
      <w:r>
        <w:rPr>
          <w:rFonts w:hint="eastAsia" w:ascii="仿宋_GB2312" w:hAnsi="仿宋_GB2312" w:eastAsia="仿宋_GB2312" w:cs="仿宋_GB2312"/>
          <w:strike w:val="0"/>
          <w:color w:val="000000"/>
          <w:sz w:val="32"/>
          <w:szCs w:val="32"/>
          <w:lang w:val="en-US" w:eastAsia="zh-CN"/>
        </w:rPr>
        <w:t>8963.4</w:t>
      </w:r>
      <w:r>
        <w:rPr>
          <w:rFonts w:hint="eastAsia" w:ascii="仿宋_GB2312" w:hAnsi="仿宋_GB2312" w:eastAsia="仿宋_GB2312" w:cs="仿宋_GB2312"/>
          <w:strike w:val="0"/>
          <w:color w:val="000000"/>
          <w:sz w:val="32"/>
          <w:szCs w:val="32"/>
        </w:rPr>
        <w:t>元，</w:t>
      </w:r>
      <w:r>
        <w:rPr>
          <w:rFonts w:hint="eastAsia" w:ascii="仿宋_GB2312" w:hAnsi="仿宋_GB2312" w:eastAsia="仿宋_GB2312" w:cs="仿宋_GB2312"/>
          <w:strike w:val="0"/>
          <w:color w:val="000000"/>
          <w:sz w:val="32"/>
          <w:szCs w:val="32"/>
          <w:lang w:eastAsia="zh-CN"/>
        </w:rPr>
        <w:t>同</w:t>
      </w:r>
      <w:r>
        <w:rPr>
          <w:rFonts w:hint="eastAsia" w:ascii="仿宋_GB2312" w:hAnsi="仿宋_GB2312" w:eastAsia="仿宋_GB2312" w:cs="仿宋_GB2312"/>
          <w:strike w:val="0"/>
          <w:color w:val="000000"/>
          <w:sz w:val="32"/>
          <w:szCs w:val="32"/>
        </w:rPr>
        <w:t>比增长</w:t>
      </w:r>
      <w:r>
        <w:rPr>
          <w:rFonts w:hint="eastAsia" w:ascii="仿宋_GB2312" w:hAnsi="仿宋_GB2312" w:eastAsia="仿宋_GB2312" w:cs="仿宋_GB2312"/>
          <w:strike w:val="0"/>
          <w:color w:val="000000"/>
          <w:sz w:val="32"/>
          <w:szCs w:val="32"/>
          <w:lang w:val="en-US" w:eastAsia="zh-CN"/>
        </w:rPr>
        <w:t>6.9</w:t>
      </w:r>
      <w:r>
        <w:rPr>
          <w:rFonts w:hint="eastAsia" w:ascii="仿宋_GB2312" w:hAnsi="仿宋_GB2312" w:eastAsia="仿宋_GB2312" w:cs="仿宋_GB2312"/>
          <w:strike w:val="0"/>
          <w:color w:val="000000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strike w:val="0"/>
          <w:color w:val="00000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增速比省（5.6%）、市（6.7%）分别高1.3、0.2个百分点</w:t>
      </w:r>
      <w:r>
        <w:rPr>
          <w:rFonts w:hint="eastAsia" w:ascii="仿宋_GB2312" w:hAnsi="仿宋_GB2312" w:eastAsia="仿宋_GB2312" w:cs="仿宋_GB2312"/>
          <w:strike w:val="0"/>
          <w:dstrike w:val="0"/>
          <w:color w:val="000000"/>
          <w:sz w:val="32"/>
          <w:szCs w:val="32"/>
          <w:u w:val="none"/>
          <w:lang w:val="en-US" w:eastAsia="zh-CN"/>
        </w:rPr>
        <w:t>。</w:t>
      </w:r>
    </w:p>
    <w:p w14:paraId="2E838ABA">
      <w:pPr>
        <w:pStyle w:val="2"/>
        <w:rPr>
          <w:rFonts w:hint="default"/>
          <w:lang w:val="en-US" w:eastAsia="zh-CN"/>
        </w:rPr>
      </w:pPr>
    </w:p>
    <w:sectPr>
      <w:pgSz w:w="11906" w:h="16838"/>
      <w:pgMar w:top="1440" w:right="1689" w:bottom="1440" w:left="1689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BE22C5"/>
    <w:rsid w:val="03D41080"/>
    <w:rsid w:val="081563EC"/>
    <w:rsid w:val="08F37C5D"/>
    <w:rsid w:val="0C7372CD"/>
    <w:rsid w:val="0DC066B8"/>
    <w:rsid w:val="0EF32B34"/>
    <w:rsid w:val="11DE5594"/>
    <w:rsid w:val="1DC87107"/>
    <w:rsid w:val="1E605AA8"/>
    <w:rsid w:val="1EC51C0D"/>
    <w:rsid w:val="21433B72"/>
    <w:rsid w:val="219066EA"/>
    <w:rsid w:val="36106E70"/>
    <w:rsid w:val="382D6054"/>
    <w:rsid w:val="48862BB4"/>
    <w:rsid w:val="48DC0E54"/>
    <w:rsid w:val="4A542233"/>
    <w:rsid w:val="4A883FB2"/>
    <w:rsid w:val="531A1EC2"/>
    <w:rsid w:val="573E1C0D"/>
    <w:rsid w:val="58BE22C5"/>
    <w:rsid w:val="6A1F3F21"/>
    <w:rsid w:val="70696F55"/>
    <w:rsid w:val="728B4D80"/>
    <w:rsid w:val="72E22291"/>
    <w:rsid w:val="745E5245"/>
    <w:rsid w:val="77FB7D05"/>
    <w:rsid w:val="7F440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kern w:val="2"/>
      <w:sz w:val="18"/>
      <w:szCs w:val="18"/>
    </w:rPr>
  </w:style>
  <w:style w:type="paragraph" w:styleId="4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HTML 预设格式1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/>
      <w:kern w:val="0"/>
      <w:sz w:val="24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1336</Words>
  <Characters>1697</Characters>
  <Lines>0</Lines>
  <Paragraphs>0</Paragraphs>
  <TotalTime>0</TotalTime>
  <ScaleCrop>false</ScaleCrop>
  <LinksUpToDate>false</LinksUpToDate>
  <CharactersWithSpaces>1698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2025-06-23T00:21:00Z</dcterms:created>
  <dc:creator>梦想</dc:creator>
  <cp:lastModifiedBy>梦想</cp:lastModifiedBy>
  <cp:lastPrinted>2025-07-22T03:04:00Z</cp:lastPrinted>
  <dcterms:modified xsi:type="dcterms:W3CDTF">2025-12-17T01:49:03Z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57336CB8DC574E9CBF2001EE094EE303_11</vt:lpwstr>
  </property>
  <property fmtid="{D5CDD505-2E9C-101B-9397-08002B2CF9AE}" pid="4" name="KSOTemplateDocerSaveRecord">
    <vt:lpwstr>eyJoZGlkIjoiYzc5YzFkNWY3ZDk2MTQzOWZkYWUxMzgwZjUwMzE5YTIiLCJ1c2VySWQiOiIzMTc0MzIyMDcifQ==</vt:lpwstr>
  </property>
</Properties>
</file>