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2960" w:type="dxa"/>
        <w:tblInd w:w="0" w:type="dxa"/>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shd w:val="clear" w:color="auto" w:fill="FFFFFF"/>
        <w:tblLayout w:type="autofit"/>
        <w:tblCellMar>
          <w:top w:w="0" w:type="dxa"/>
          <w:left w:w="0" w:type="dxa"/>
          <w:bottom w:w="0" w:type="dxa"/>
          <w:right w:w="0" w:type="dxa"/>
        </w:tblCellMar>
      </w:tblPr>
      <w:tblGrid>
        <w:gridCol w:w="486"/>
        <w:gridCol w:w="714"/>
        <w:gridCol w:w="1432"/>
        <w:gridCol w:w="1229"/>
        <w:gridCol w:w="2549"/>
        <w:gridCol w:w="1249"/>
        <w:gridCol w:w="880"/>
        <w:gridCol w:w="650"/>
        <w:gridCol w:w="475"/>
        <w:gridCol w:w="484"/>
        <w:gridCol w:w="475"/>
        <w:gridCol w:w="484"/>
        <w:gridCol w:w="475"/>
        <w:gridCol w:w="652"/>
        <w:gridCol w:w="726"/>
      </w:tblGrid>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shd w:val="clear" w:color="auto" w:fill="FFFFFF"/>
          <w:tblCellMar>
            <w:top w:w="0" w:type="dxa"/>
            <w:left w:w="0" w:type="dxa"/>
            <w:bottom w:w="0" w:type="dxa"/>
            <w:right w:w="0" w:type="dxa"/>
          </w:tblCellMar>
        </w:tblPrEx>
        <w:trPr>
          <w:trHeight w:val="480" w:hRule="atLeast"/>
        </w:trPr>
        <w:tc>
          <w:tcPr>
            <w:tcW w:w="15444" w:type="dxa"/>
            <w:gridSpan w:val="15"/>
            <w:tcBorders>
              <w:top w:val="nil"/>
              <w:left w:val="nil"/>
              <w:bottom w:val="nil"/>
              <w:right w:val="nil"/>
            </w:tcBorders>
            <w:shd w:val="clear" w:color="auto" w:fill="FFFFFF"/>
            <w:tcMar>
              <w:top w:w="12" w:type="dxa"/>
              <w:left w:w="12" w:type="dxa"/>
              <w:right w:w="12" w:type="dxa"/>
            </w:tcMar>
            <w:vAlign w:val="center"/>
          </w:tcPr>
          <w:p>
            <w:pPr>
              <w:keepNext w:val="0"/>
              <w:keepLines w:val="0"/>
              <w:widowControl/>
              <w:suppressLineNumbers w:val="0"/>
              <w:wordWrap w:val="0"/>
              <w:spacing w:before="0" w:beforeAutospacing="0" w:after="0" w:afterAutospacing="0"/>
              <w:ind w:left="0" w:right="0"/>
              <w:jc w:val="center"/>
              <w:textAlignment w:val="center"/>
              <w:rPr>
                <w:rFonts w:ascii="FZXiaoBiaoSong-B05S" w:hAnsi="FZXiaoBiaoSong-B05S" w:eastAsia="FZXiaoBiaoSong-B05S" w:cs="FZXiaoBiaoSong-B05S"/>
                <w:b/>
                <w:bCs/>
                <w:i w:val="0"/>
                <w:iCs w:val="0"/>
                <w:caps w:val="0"/>
                <w:color w:val="333333"/>
                <w:spacing w:val="0"/>
                <w:sz w:val="44"/>
                <w:szCs w:val="44"/>
              </w:rPr>
            </w:pPr>
            <w:r>
              <w:rPr>
                <w:rFonts w:hint="eastAsia" w:ascii="FZXiaoBiaoSong-B05S" w:hAnsi="FZXiaoBiaoSong-B05S" w:eastAsia="FZXiaoBiaoSong-B05S" w:cs="FZXiaoBiaoSong-B05S"/>
                <w:b/>
                <w:bCs/>
                <w:i w:val="0"/>
                <w:iCs w:val="0"/>
                <w:caps w:val="0"/>
                <w:color w:val="333333"/>
                <w:spacing w:val="0"/>
                <w:kern w:val="0"/>
                <w:sz w:val="44"/>
                <w:szCs w:val="44"/>
                <w:lang w:val="en-US" w:eastAsia="zh-CN" w:bidi="ar"/>
              </w:rPr>
              <w:t>广播电视领域基层政务公开标准目录</w:t>
            </w:r>
            <w:bookmarkStart w:id="0" w:name="_GoBack"/>
            <w:bookmarkEnd w:id="0"/>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480" w:hRule="atLeast"/>
        </w:trPr>
        <w:tc>
          <w:tcPr>
            <w:tcW w:w="552"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序号</w:t>
            </w:r>
          </w:p>
        </w:tc>
        <w:tc>
          <w:tcPr>
            <w:tcW w:w="2604"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公开事项</w:t>
            </w:r>
          </w:p>
        </w:tc>
        <w:tc>
          <w:tcPr>
            <w:tcW w:w="1536"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公开内容</w:t>
            </w:r>
          </w:p>
        </w:tc>
        <w:tc>
          <w:tcPr>
            <w:tcW w:w="310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公开依据</w:t>
            </w:r>
          </w:p>
        </w:tc>
        <w:tc>
          <w:tcPr>
            <w:tcW w:w="1548"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公开时限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公开主体</w:t>
            </w:r>
          </w:p>
        </w:tc>
        <w:tc>
          <w:tcPr>
            <w:tcW w:w="780"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kern w:val="0"/>
                <w:sz w:val="20"/>
                <w:szCs w:val="20"/>
                <w:lang w:val="en-US" w:eastAsia="zh-CN" w:bidi="ar"/>
              </w:rPr>
            </w:pPr>
            <w:r>
              <w:rPr>
                <w:rFonts w:hint="eastAsia" w:ascii="SimSun" w:hAnsi="SimSun" w:eastAsia="SimSun" w:cs="SimSun"/>
                <w:i w:val="0"/>
                <w:iCs w:val="0"/>
                <w:caps w:val="0"/>
                <w:color w:val="333333"/>
                <w:spacing w:val="0"/>
                <w:kern w:val="0"/>
                <w:sz w:val="20"/>
                <w:szCs w:val="20"/>
                <w:lang w:val="en-US" w:eastAsia="zh-CN" w:bidi="ar"/>
              </w:rPr>
              <w:t>公开渠道</w:t>
            </w:r>
          </w:p>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和载体</w:t>
            </w:r>
          </w:p>
        </w:tc>
        <w:tc>
          <w:tcPr>
            <w:tcW w:w="1116"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公开对象</w:t>
            </w:r>
          </w:p>
        </w:tc>
        <w:tc>
          <w:tcPr>
            <w:tcW w:w="1116" w:type="dxa"/>
            <w:gridSpan w:val="2"/>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公开方式</w:t>
            </w:r>
          </w:p>
        </w:tc>
        <w:tc>
          <w:tcPr>
            <w:tcW w:w="2004" w:type="dxa"/>
            <w:gridSpan w:val="3"/>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公开层级</w:t>
            </w: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480" w:hRule="atLeast"/>
        </w:trPr>
        <w:tc>
          <w:tcPr>
            <w:tcW w:w="552"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SimSun" w:hAnsi="SimSun" w:eastAsia="SimSun" w:cs="SimSun"/>
                <w:i w:val="0"/>
                <w:iCs w:val="0"/>
                <w:caps w:val="0"/>
                <w:color w:val="333333"/>
                <w:spacing w:val="0"/>
                <w:sz w:val="20"/>
                <w:szCs w:val="20"/>
              </w:rPr>
            </w:pPr>
          </w:p>
        </w:tc>
        <w:tc>
          <w:tcPr>
            <w:tcW w:w="864"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一级事项</w:t>
            </w: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二级事项</w:t>
            </w:r>
          </w:p>
        </w:tc>
        <w:tc>
          <w:tcPr>
            <w:tcW w:w="1536"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SimSun" w:hAnsi="SimSun" w:eastAsia="SimSun" w:cs="SimSun"/>
                <w:i w:val="0"/>
                <w:iCs w:val="0"/>
                <w:caps w:val="0"/>
                <w:color w:val="333333"/>
                <w:spacing w:val="0"/>
                <w:sz w:val="20"/>
                <w:szCs w:val="20"/>
              </w:rPr>
            </w:pPr>
          </w:p>
        </w:tc>
        <w:tc>
          <w:tcPr>
            <w:tcW w:w="310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SimSun" w:hAnsi="SimSun" w:eastAsia="SimSun" w:cs="SimSun"/>
                <w:i w:val="0"/>
                <w:iCs w:val="0"/>
                <w:caps w:val="0"/>
                <w:color w:val="333333"/>
                <w:spacing w:val="0"/>
                <w:sz w:val="20"/>
                <w:szCs w:val="20"/>
              </w:rPr>
            </w:pPr>
          </w:p>
        </w:tc>
        <w:tc>
          <w:tcPr>
            <w:tcW w:w="1548"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SimSun" w:hAnsi="SimSun" w:eastAsia="SimSun" w:cs="SimSun"/>
                <w:i w:val="0"/>
                <w:iCs w:val="0"/>
                <w:caps w:val="0"/>
                <w:color w:val="333333"/>
                <w:spacing w:val="0"/>
                <w:sz w:val="20"/>
                <w:szCs w:val="20"/>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SimSun" w:hAnsi="SimSun" w:eastAsia="SimSun" w:cs="SimSun"/>
                <w:i w:val="0"/>
                <w:iCs w:val="0"/>
                <w:caps w:val="0"/>
                <w:color w:val="333333"/>
                <w:spacing w:val="0"/>
                <w:sz w:val="20"/>
                <w:szCs w:val="20"/>
              </w:rPr>
            </w:pPr>
          </w:p>
        </w:tc>
        <w:tc>
          <w:tcPr>
            <w:tcW w:w="780"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jc w:val="center"/>
              <w:rPr>
                <w:rFonts w:hint="eastAsia" w:ascii="SimSun" w:hAnsi="SimSun" w:eastAsia="SimSun" w:cs="SimSun"/>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全社会</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kern w:val="0"/>
                <w:sz w:val="20"/>
                <w:szCs w:val="20"/>
                <w:lang w:val="en-US" w:eastAsia="zh-CN" w:bidi="ar"/>
              </w:rPr>
            </w:pPr>
            <w:r>
              <w:rPr>
                <w:rFonts w:hint="eastAsia" w:ascii="SimSun" w:hAnsi="SimSun" w:eastAsia="SimSun" w:cs="SimSun"/>
                <w:i w:val="0"/>
                <w:iCs w:val="0"/>
                <w:caps w:val="0"/>
                <w:color w:val="333333"/>
                <w:spacing w:val="0"/>
                <w:kern w:val="0"/>
                <w:sz w:val="20"/>
                <w:szCs w:val="20"/>
                <w:lang w:val="en-US" w:eastAsia="zh-CN" w:bidi="ar"/>
              </w:rPr>
              <w:t>特定</w:t>
            </w:r>
          </w:p>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群众</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kern w:val="0"/>
                <w:sz w:val="20"/>
                <w:szCs w:val="20"/>
                <w:lang w:val="en-US" w:eastAsia="zh-CN" w:bidi="ar"/>
              </w:rPr>
            </w:pPr>
            <w:r>
              <w:rPr>
                <w:rFonts w:hint="eastAsia" w:ascii="SimSun" w:hAnsi="SimSun" w:eastAsia="SimSun" w:cs="SimSun"/>
                <w:i w:val="0"/>
                <w:iCs w:val="0"/>
                <w:caps w:val="0"/>
                <w:color w:val="333333"/>
                <w:spacing w:val="0"/>
                <w:kern w:val="0"/>
                <w:sz w:val="20"/>
                <w:szCs w:val="20"/>
                <w:lang w:val="en-US" w:eastAsia="zh-CN" w:bidi="ar"/>
              </w:rPr>
              <w:t>主动</w:t>
            </w:r>
          </w:p>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公开</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kern w:val="0"/>
                <w:sz w:val="20"/>
                <w:szCs w:val="20"/>
                <w:lang w:val="en-US" w:eastAsia="zh-CN" w:bidi="ar"/>
              </w:rPr>
            </w:pPr>
            <w:r>
              <w:rPr>
                <w:rFonts w:hint="eastAsia" w:ascii="SimSun" w:hAnsi="SimSun" w:eastAsia="SimSun" w:cs="SimSun"/>
                <w:i w:val="0"/>
                <w:iCs w:val="0"/>
                <w:caps w:val="0"/>
                <w:color w:val="333333"/>
                <w:spacing w:val="0"/>
                <w:kern w:val="0"/>
                <w:sz w:val="20"/>
                <w:szCs w:val="20"/>
                <w:lang w:val="en-US" w:eastAsia="zh-CN" w:bidi="ar"/>
              </w:rPr>
              <w:t>依申请</w:t>
            </w:r>
          </w:p>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公开</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县级</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乡镇（街道）级</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SimSun" w:hAnsi="SimSun" w:eastAsia="SimSun" w:cs="SimSun"/>
                <w:i w:val="0"/>
                <w:iCs w:val="0"/>
                <w:caps w:val="0"/>
                <w:color w:val="333333"/>
                <w:spacing w:val="0"/>
                <w:sz w:val="20"/>
                <w:szCs w:val="20"/>
              </w:rPr>
            </w:pPr>
            <w:r>
              <w:rPr>
                <w:rFonts w:hint="eastAsia" w:ascii="SimSun" w:hAnsi="SimSun" w:eastAsia="SimSun" w:cs="SimSun"/>
                <w:i w:val="0"/>
                <w:iCs w:val="0"/>
                <w:caps w:val="0"/>
                <w:color w:val="333333"/>
                <w:spacing w:val="0"/>
                <w:kern w:val="0"/>
                <w:sz w:val="20"/>
                <w:szCs w:val="20"/>
                <w:lang w:val="en-US" w:eastAsia="zh-CN" w:bidi="ar"/>
              </w:rPr>
              <w:t>村（社）级</w:t>
            </w: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633"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1</w:t>
            </w:r>
          </w:p>
        </w:tc>
        <w:tc>
          <w:tcPr>
            <w:tcW w:w="86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政策法规文件</w:t>
            </w: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法律、行政法规、部门规章</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有关广播电视和网络视听的法律</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有关广播电视和网络视听的行政法规</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有关广播电视和网络视听的部门规章</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《中华人民共和国政府信息公开条例》（国务院令第711号）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008"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2</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规范性文件</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各级广播电视行政管理机构涉及广播电视和网络视听领域的规范性文件</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《中华人民共和国政府信息公开条例》（国务院令第711号）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068"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3</w:t>
            </w:r>
          </w:p>
        </w:tc>
        <w:tc>
          <w:tcPr>
            <w:tcW w:w="86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行政处罚</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行政检查</w:t>
            </w: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对擅自进行广播电视传输覆盖网的工程选址、设计、施工、安装的处罚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《广播电视管理条例》（国务院令第228号根据2020年11月29日《国务院关于修改和废止部分行政法规的决定》第三次修订）</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105"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4</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对侵占、干扰广播电视专用频率和擅自截传、干扰、解扰广播电视信号的处罚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《广播电视管理条例》（国务院令第228号根据2020年11月29日《国务院关于修改和废止部分行政法规的决定》第三次修订）</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105"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5</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对已获得入网认定证书的生产企业实施违反有关生产、管理或服务规定行为的处罚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《广播电视设备器材入网认定管理办法》（国家广播电视总局令第1号）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2173"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6</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对擅自安装和使用卫星地面接收设施的处罚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《卫星地面接收设施接收外国卫星传送电视节目管理办法》（广播电影电视部公安部国家安全部令第1号）</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《卫星电视广播地面接收设施管理规定》（国务院令第129号根据2018年9月18日《国务院关于修改部分行政法规的决定》第二次修订）</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《〈卫星电视广播地面接收设施管理规定〉实施细则》（广播电影电视部令第11号）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741"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7</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对擅自提供卫星地面接收设施安装服务的处罚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《〈卫星电视广播地面接收设施管理规定〉实施细则》（广播电影电视部令第11号）</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《卫星电视广播地面接收设施安装服务暂行办法》（国家广播电影电视总局令第60号公布根据2021年10月9日《国家广播电视总局关于第四批修改的部门规章的决定》第二次修订）</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333"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8</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对卫星地面接收设施安装服务机构和卫星地面接收设施生产企业之间，违规存在利益关联的处罚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《卫星电视广播地面接收设施安装服务暂行办法》（国家广播电影电视总局令第60号公布根据2021年10月9日《国家广播电视总局关于第四批修改的部门规章的决定》第二次修订）</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948"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9</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对擅自从事专网及定向传播视听节目服务的处罚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《专网及定向传播视听节目服务管理规定》（国家新闻出版广电总局令第6号）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960"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10</w:t>
            </w:r>
          </w:p>
        </w:tc>
        <w:tc>
          <w:tcPr>
            <w:tcW w:w="864" w:type="dxa"/>
            <w:vMerge w:val="restart"/>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行政处罚</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行政检查</w:t>
            </w: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对专网及定向传播视听节目服务单位传播违规节目内容的处罚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《专网及定向传播视听节目服务管理规定》（国家新闻出版广电总局令第6号）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297"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11</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对擅自从事互联网视听节目服务的处罚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《互联网视听节目服务管理规定》（国家广播电影电视总局中华人民共和国信息产业部令第56号）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297"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12</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对互联网视听节目服务单位传播违规节目内容的处罚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《互联网视听节目服务管理规定》（国家广播电影电视总局中华人民共和国信息产业部令第56号）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297"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13</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对技术系统的代维单位管理不力、引发重大安全播出事故的处罚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《广播电视安全播出管理规定》（国家广播电影电视总局令第62号）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297"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14</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对安全播出责任单位之间责任界限不清晰、导致故障处置不及时的处罚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《广播电视安全播出管理规定》（国家广播电影电视总局令第62号）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297"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15</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对节目播出、传送质量不好影响用户正常接收广播电视节目的处罚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《广播电视安全播出管理规定》（国家广播电影电视总局令第62号）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633"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16</w:t>
            </w:r>
          </w:p>
        </w:tc>
        <w:tc>
          <w:tcPr>
            <w:tcW w:w="864"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对从事广播电视传输、分发、覆盖业务的安全播出责任单位未按照有关规定完整传输、分发必转的广播电视节目的处罚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《广播电视安全播出管理规定》（国家广播电影电视总局令第62号）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248"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17</w:t>
            </w:r>
          </w:p>
        </w:tc>
        <w:tc>
          <w:tcPr>
            <w:tcW w:w="864" w:type="dxa"/>
            <w:vMerge w:val="restart"/>
            <w:tcBorders>
              <w:top w:val="nil"/>
              <w:left w:val="single" w:color="000000" w:sz="4" w:space="0"/>
              <w:bottom w:val="nil"/>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行政处罚</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行政检查</w:t>
            </w: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对妨碍广播电视行政部门监督检查、事故调查，或者不服从安全播出统一调配的处罚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《广播电视安全播出管理规定》（国家广播电影电视总局令第62号）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344"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18</w:t>
            </w:r>
          </w:p>
        </w:tc>
        <w:tc>
          <w:tcPr>
            <w:tcW w:w="864" w:type="dxa"/>
            <w:vMerge w:val="continue"/>
            <w:tcBorders>
              <w:top w:val="nil"/>
              <w:left w:val="single" w:color="000000" w:sz="4" w:space="0"/>
              <w:bottom w:val="nil"/>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对未按照规定记录、保存本单位播出、集成、传输、分发、发射的节目信号的质量和效果的处罚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《广播电视安全播出管理规定》（国家广播电影电视总局令第62号）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008"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19</w:t>
            </w:r>
          </w:p>
        </w:tc>
        <w:tc>
          <w:tcPr>
            <w:tcW w:w="864" w:type="dxa"/>
            <w:vMerge w:val="continue"/>
            <w:tcBorders>
              <w:top w:val="nil"/>
              <w:left w:val="single" w:color="000000" w:sz="4" w:space="0"/>
              <w:bottom w:val="nil"/>
              <w:right w:val="single" w:color="000000" w:sz="4" w:space="0"/>
            </w:tcBorders>
            <w:shd w:val="clear" w:color="auto" w:fill="FFFFFF"/>
            <w:tcMar>
              <w:top w:w="12" w:type="dxa"/>
              <w:left w:w="12" w:type="dxa"/>
              <w:right w:w="12" w:type="dxa"/>
            </w:tcMar>
            <w:vAlign w:val="center"/>
          </w:tcPr>
          <w:p>
            <w:pPr>
              <w:rPr>
                <w:rFonts w:hint="default" w:ascii="方正仿宋简体" w:hAnsi="方正仿宋简体" w:eastAsia="方正仿宋简体" w:cs="方正仿宋简体"/>
                <w:b/>
                <w:bCs/>
                <w:i w:val="0"/>
                <w:iCs w:val="0"/>
                <w:caps w:val="0"/>
                <w:color w:val="333333"/>
                <w:spacing w:val="0"/>
                <w:sz w:val="20"/>
                <w:szCs w:val="20"/>
              </w:rPr>
            </w:pP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对未按照规定向广播电视行政部门备案安全保障方案或者应急预案的处罚</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主体信息</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案由</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处罚依据</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处罚结果</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《广播电视安全播出管理规定》（国家广播电影电视总局令第62号）</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1200" w:hRule="atLeast"/>
        </w:trPr>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20</w:t>
            </w:r>
          </w:p>
        </w:tc>
        <w:tc>
          <w:tcPr>
            <w:tcW w:w="864"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公共服务</w:t>
            </w:r>
          </w:p>
        </w:tc>
        <w:tc>
          <w:tcPr>
            <w:tcW w:w="174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广播电视基本公共服务标准</w:t>
            </w:r>
          </w:p>
        </w:tc>
        <w:tc>
          <w:tcPr>
            <w:tcW w:w="1536"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国家基本公共服务标准</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地方具体实施配套标准</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市县标准化目录</w:t>
            </w:r>
          </w:p>
        </w:tc>
        <w:tc>
          <w:tcPr>
            <w:tcW w:w="310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《关于印发＜国家基本公共服务标准（2021年版）＞的通知》</w:t>
            </w:r>
          </w:p>
        </w:tc>
        <w:tc>
          <w:tcPr>
            <w:tcW w:w="1548"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自该信息形成或者变更之日起20个工作日内予以公开</w:t>
            </w:r>
          </w:p>
        </w:tc>
        <w:tc>
          <w:tcPr>
            <w:tcW w:w="10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县文化广播电视和旅游局</w:t>
            </w:r>
          </w:p>
        </w:tc>
        <w:tc>
          <w:tcPr>
            <w:tcW w:w="78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政府网站</w:t>
            </w:r>
          </w:p>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新媒体平台</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552"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w:t>
            </w:r>
          </w:p>
        </w:tc>
        <w:tc>
          <w:tcPr>
            <w:tcW w:w="720" w:type="dxa"/>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c>
          <w:tcPr>
            <w:tcW w:w="0" w:type="auto"/>
            <w:tcBorders>
              <w:top w:val="single" w:color="000000" w:sz="4" w:space="0"/>
              <w:left w:val="single" w:color="000000" w:sz="4" w:space="0"/>
              <w:bottom w:val="single" w:color="000000" w:sz="4" w:space="0"/>
              <w:right w:val="single" w:color="000000" w:sz="4" w:space="0"/>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方正仿宋简体" w:hAnsi="方正仿宋简体" w:eastAsia="方正仿宋简体" w:cs="方正仿宋简体"/>
                <w:b/>
                <w:bCs/>
                <w:i w:val="0"/>
                <w:iCs w:val="0"/>
                <w:caps w:val="0"/>
                <w:color w:val="333333"/>
                <w:spacing w:val="0"/>
                <w:sz w:val="20"/>
                <w:szCs w:val="20"/>
              </w:rPr>
            </w:pPr>
          </w:p>
        </w:tc>
      </w:tr>
      <w:tr>
        <w:tblPrEx>
          <w:tblBorders>
            <w:top w:val="outset" w:color="333333" w:sz="6" w:space="0"/>
            <w:left w:val="outset" w:color="333333" w:sz="6" w:space="0"/>
            <w:bottom w:val="outset" w:color="333333" w:sz="6" w:space="0"/>
            <w:right w:val="outset" w:color="333333" w:sz="6" w:space="0"/>
            <w:insideH w:val="outset" w:color="auto" w:sz="6" w:space="0"/>
            <w:insideV w:val="outset" w:color="auto" w:sz="6" w:space="0"/>
          </w:tblBorders>
          <w:tblCellMar>
            <w:top w:w="0" w:type="dxa"/>
            <w:left w:w="0" w:type="dxa"/>
            <w:bottom w:w="0" w:type="dxa"/>
            <w:right w:w="0" w:type="dxa"/>
          </w:tblCellMar>
        </w:tblPrEx>
        <w:trPr>
          <w:trHeight w:val="480" w:hRule="atLeast"/>
        </w:trPr>
        <w:tc>
          <w:tcPr>
            <w:tcW w:w="0" w:type="auto"/>
            <w:gridSpan w:val="15"/>
            <w:tcBorders>
              <w:top w:val="nil"/>
              <w:left w:val="nil"/>
              <w:bottom w:val="nil"/>
              <w:right w:val="nil"/>
            </w:tcBorders>
            <w:shd w:val="clear" w:color="auto" w:fill="FFFFFF"/>
            <w:tcMar>
              <w:top w:w="12" w:type="dxa"/>
              <w:left w:w="12" w:type="dxa"/>
              <w:right w:w="12"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方正仿宋简体" w:hAnsi="方正仿宋简体" w:eastAsia="方正仿宋简体" w:cs="方正仿宋简体"/>
                <w:b/>
                <w:bCs/>
                <w:i w:val="0"/>
                <w:iCs w:val="0"/>
                <w:caps w:val="0"/>
                <w:color w:val="333333"/>
                <w:spacing w:val="0"/>
                <w:sz w:val="20"/>
                <w:szCs w:val="20"/>
              </w:rPr>
            </w:pPr>
            <w:r>
              <w:rPr>
                <w:rFonts w:hint="default" w:ascii="方正仿宋简体" w:hAnsi="方正仿宋简体" w:eastAsia="方正仿宋简体" w:cs="方正仿宋简体"/>
                <w:b/>
                <w:bCs/>
                <w:i w:val="0"/>
                <w:iCs w:val="0"/>
                <w:caps w:val="0"/>
                <w:color w:val="333333"/>
                <w:spacing w:val="0"/>
                <w:kern w:val="0"/>
                <w:sz w:val="20"/>
                <w:szCs w:val="20"/>
                <w:lang w:val="en-US" w:eastAsia="zh-CN" w:bidi="ar"/>
              </w:rPr>
              <w:t>备注：本领域涉及一级事项3项，二级事项20项。</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FZXiaoBiaoSong-B05S">
    <w:panose1 w:val="03000509000000000000"/>
    <w:charset w:val="86"/>
    <w:family w:val="auto"/>
    <w:pitch w:val="default"/>
    <w:sig w:usb0="00000001" w:usb1="080E0000" w:usb2="00000000" w:usb3="00000000" w:csb0="00040000" w:csb1="00000000"/>
  </w:font>
  <w:font w:name="方正仿宋简体">
    <w:altName w:val="Microsoft YaHei"/>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VmYjMxZjE4NTM2MWVlY2RkY2ExNDc1OTBjYWNiMTgifQ=="/>
  </w:docVars>
  <w:rsids>
    <w:rsidRoot w:val="00000000"/>
    <w:rsid w:val="4F9A7D42"/>
    <w:rsid w:val="5CAC442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朝夕</cp:lastModifiedBy>
  <dcterms:modified xsi:type="dcterms:W3CDTF">2023-11-19T12:15:53Z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1661E49130CB4E52ADCDC478BD9F73E8_12</vt:lpwstr>
  </property>
</Properties>
</file>