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236E0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  <w:lang w:eastAsia="zh-CN"/>
        </w:rPr>
        <w:t>特困人员救助供养办事指南</w:t>
      </w:r>
    </w:p>
    <w:p w14:paraId="0054094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  <w:lang w:eastAsia="zh-CN"/>
        </w:rPr>
      </w:pPr>
    </w:p>
    <w:p w14:paraId="50E7CEF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</w:t>
      </w:r>
      <w:r>
        <w:rPr>
          <w:rFonts w:hint="eastAsia" w:ascii="黑体" w:hAnsi="黑体" w:eastAsia="黑体" w:cs="黑体"/>
          <w:b w:val="0"/>
          <w:bCs w:val="0"/>
          <w:color w:val="333333"/>
          <w:sz w:val="32"/>
          <w:szCs w:val="32"/>
        </w:rPr>
        <w:t>一、受理范围</w:t>
      </w:r>
    </w:p>
    <w:p w14:paraId="2F3DFA2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本县户籍的城乡老年人、残疾人以及未满16周岁的未成年人：无劳动能力；无生活来源；无法定赡养、抚养、扶养义务人或其法定义务人无履行义务能力。</w:t>
      </w:r>
    </w:p>
    <w:p w14:paraId="1EC9929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黑体" w:hAnsi="黑体" w:eastAsia="黑体" w:cs="黑体"/>
          <w:b w:val="0"/>
          <w:bCs w:val="0"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333333"/>
          <w:sz w:val="32"/>
          <w:szCs w:val="32"/>
        </w:rPr>
        <w:t>　二、办理条件</w:t>
      </w:r>
    </w:p>
    <w:p w14:paraId="354EBA6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老年人、残疾人、未满16周岁的未成年人，同时具备以下三个条件的，应当依法纳入特困人员救助供养范围：</w:t>
      </w:r>
    </w:p>
    <w:p w14:paraId="55D959A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1.无劳动能力。</w:t>
      </w:r>
    </w:p>
    <w:p w14:paraId="3D9C760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（1）60周岁以上的老年人；</w:t>
      </w:r>
    </w:p>
    <w:p w14:paraId="77DA4C3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（2）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未满16周岁的未成年人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；</w:t>
      </w:r>
    </w:p>
    <w:p w14:paraId="7339DA9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（3）</w:t>
      </w:r>
      <w:r>
        <w:rPr>
          <w:rFonts w:hint="eastAsia" w:ascii="仿宋_GB2312" w:hAnsi="仿宋_GB2312" w:eastAsia="仿宋_GB2312" w:cs="仿宋_GB2312"/>
          <w:spacing w:val="-6"/>
          <w:sz w:val="32"/>
          <w:szCs w:val="32"/>
        </w:rPr>
        <w:t>残疾等级为一、二、三级的智力、精神残疾人；残疾等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12"/>
          <w:sz w:val="32"/>
          <w:szCs w:val="32"/>
        </w:rPr>
        <w:t>级为一、二级的肢体残疾人；残疾等级为一级的视力残疾人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；</w:t>
      </w:r>
    </w:p>
    <w:p w14:paraId="7B230CD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2.无生活来源。</w:t>
      </w:r>
      <w:r>
        <w:rPr>
          <w:rFonts w:hint="eastAsia" w:ascii="仿宋_GB2312" w:hAnsi="仿宋_GB2312" w:eastAsia="仿宋_GB2312" w:cs="仿宋_GB2312"/>
          <w:spacing w:val="-4"/>
          <w:sz w:val="32"/>
          <w:szCs w:val="32"/>
        </w:rPr>
        <w:t>收入低于当地最低生活保障标准，且其财</w:t>
      </w:r>
      <w:r>
        <w:rPr>
          <w:rFonts w:hint="eastAsia" w:ascii="仿宋_GB2312" w:hAnsi="仿宋_GB2312" w:eastAsia="仿宋_GB2312" w:cs="仿宋_GB2312"/>
          <w:spacing w:val="-4"/>
          <w:sz w:val="32"/>
          <w:szCs w:val="32"/>
        </w:rPr>
        <w:t>产符合当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地最低生活保障家庭财产状况规定的，应当认定为本办法所称的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14"/>
          <w:sz w:val="32"/>
          <w:szCs w:val="32"/>
        </w:rPr>
        <w:t>无生活来源。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。</w:t>
      </w:r>
    </w:p>
    <w:p w14:paraId="10FBB86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3.</w:t>
      </w:r>
      <w:r>
        <w:rPr>
          <w:rFonts w:hint="eastAsia" w:ascii="仿宋_GB2312" w:hAnsi="仿宋_GB2312" w:eastAsia="仿宋_GB2312" w:cs="仿宋_GB2312"/>
          <w:spacing w:val="6"/>
          <w:sz w:val="32"/>
          <w:szCs w:val="32"/>
        </w:rPr>
        <w:t>法定义务人符合下列情形之一的，应当认定本办法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8"/>
          <w:sz w:val="32"/>
          <w:szCs w:val="32"/>
        </w:rPr>
        <w:t>所称的无履行义务能力：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。</w:t>
      </w:r>
    </w:p>
    <w:p w14:paraId="73A30AA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（1）特困人员；</w:t>
      </w:r>
    </w:p>
    <w:p w14:paraId="1F62518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（2）60周岁以上的最低生活保障对象；</w:t>
      </w:r>
    </w:p>
    <w:p w14:paraId="494748A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（3）</w:t>
      </w:r>
      <w:r>
        <w:rPr>
          <w:rFonts w:hint="eastAsia" w:ascii="仿宋_GB2312" w:hAnsi="仿宋_GB2312" w:eastAsia="仿宋_GB2312" w:cs="仿宋_GB2312"/>
          <w:spacing w:val="4"/>
          <w:sz w:val="32"/>
          <w:szCs w:val="32"/>
        </w:rPr>
        <w:t>70周岁以上的老年人，本人收入低于当地上年人均可支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</w:rPr>
        <w:t>配收入，且其财产符合当地低保边缘家庭财产状况规定的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；</w:t>
      </w:r>
    </w:p>
    <w:p w14:paraId="2A9189F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（4）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</w:rPr>
        <w:t>重度残疾人和残疾等级为三级的智力、精神残疾人，本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4"/>
          <w:sz w:val="32"/>
          <w:szCs w:val="32"/>
        </w:rPr>
        <w:t>人收入低于当地上年人均可支配收入，且其财产符合当地低保边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8"/>
          <w:sz w:val="32"/>
          <w:szCs w:val="32"/>
        </w:rPr>
        <w:t>缘家庭财产状况规定的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；</w:t>
      </w:r>
    </w:p>
    <w:p w14:paraId="702FA1A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（5）</w:t>
      </w:r>
      <w:r>
        <w:rPr>
          <w:rFonts w:hint="eastAsia" w:ascii="仿宋_GB2312" w:hAnsi="仿宋_GB2312" w:eastAsia="仿宋_GB2312" w:cs="仿宋_GB2312"/>
          <w:spacing w:val="4"/>
          <w:sz w:val="32"/>
          <w:szCs w:val="32"/>
        </w:rPr>
        <w:t>无民事行为能力、被宣告失踪或者在监狱服刑的人员，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4"/>
          <w:sz w:val="32"/>
          <w:szCs w:val="32"/>
        </w:rPr>
        <w:t>且其财产符合当地低保边缘家庭财产状况规定的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。</w:t>
      </w:r>
    </w:p>
    <w:p w14:paraId="102BC16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</w:t>
      </w:r>
      <w:r>
        <w:rPr>
          <w:rFonts w:hint="eastAsia" w:ascii="仿宋_GB2312" w:hAnsi="仿宋_GB2312" w:eastAsia="仿宋_GB2312" w:cs="仿宋_GB2312"/>
          <w:b/>
          <w:bCs/>
          <w:color w:val="333333"/>
          <w:sz w:val="32"/>
          <w:szCs w:val="32"/>
        </w:rPr>
        <w:t>　</w:t>
      </w:r>
      <w:r>
        <w:rPr>
          <w:rFonts w:hint="eastAsia" w:ascii="黑体" w:hAnsi="黑体" w:eastAsia="黑体" w:cs="黑体"/>
          <w:b w:val="0"/>
          <w:bCs w:val="0"/>
          <w:color w:val="333333"/>
          <w:sz w:val="32"/>
          <w:szCs w:val="32"/>
        </w:rPr>
        <w:t>三、办理流程</w:t>
      </w:r>
    </w:p>
    <w:p w14:paraId="601478D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1.申请。申请特困人员救助供养，应当由本人向户籍所在地乡镇（街道）提出书面申请。本人申请有困难的，可以委托村（居）民委员会或者他人代为提出申请。</w:t>
      </w:r>
    </w:p>
    <w:p w14:paraId="4D3CE5A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00"/>
        <w:jc w:val="left"/>
        <w:textAlignment w:val="auto"/>
        <w:rPr>
          <w:rFonts w:hint="eastAsia" w:ascii="仿宋_GB2312" w:hAnsi="仿宋_GB2312" w:eastAsia="仿宋_GB2312" w:cs="仿宋_GB2312"/>
          <w:spacing w:val="-24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14"/>
          <w:sz w:val="32"/>
          <w:szCs w:val="32"/>
        </w:rPr>
        <w:t>申请材料主要包括本人有效身份证明，劳动能力、生活来源、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6"/>
          <w:sz w:val="32"/>
          <w:szCs w:val="32"/>
        </w:rPr>
        <w:t>财产状况以及赡养、抚养、扶养情况的书面声明，承诺所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提供信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24"/>
          <w:sz w:val="32"/>
          <w:szCs w:val="32"/>
        </w:rPr>
        <w:t>息真实、完整的承诺书，残疾人应当提供中华人民共和国残疾人证</w:t>
      </w:r>
      <w:r>
        <w:rPr>
          <w:rFonts w:hint="eastAsia" w:ascii="仿宋_GB2312" w:hAnsi="仿宋_GB2312" w:eastAsia="仿宋_GB2312" w:cs="仿宋_GB2312"/>
          <w:spacing w:val="-24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pacing w:val="-24"/>
          <w:sz w:val="32"/>
          <w:szCs w:val="32"/>
          <w:lang w:val="en-US" w:eastAsia="zh-CN"/>
        </w:rPr>
        <w:t xml:space="preserve">      </w:t>
      </w:r>
    </w:p>
    <w:p w14:paraId="58C6E4F9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24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pacing w:val="-6"/>
          <w:sz w:val="32"/>
          <w:szCs w:val="32"/>
        </w:rPr>
        <w:t>申请人及其法定义务人应当履行授权核查家庭经济状况的相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14"/>
          <w:sz w:val="32"/>
          <w:szCs w:val="32"/>
        </w:rPr>
        <w:t>关手续。</w:t>
      </w:r>
    </w:p>
    <w:p w14:paraId="52E1718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2.受理。本人（如本人申请有困难的，可委托村委、居委或其他人）向户籍所在地乡镇人民政府（街道办事处）提出书面申请，并签署授权书。</w:t>
      </w:r>
    </w:p>
    <w:p w14:paraId="68BD126A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乡（镇）应当对申请人或者其代理人提交的材料进行审查，材料齐备的，予以受理；材料不齐备的，应当一次性告知申请人或者其代理人补齐所有规定材料；对材料内容明显不符合特困人员认定条件的，不予受理，并告知不符合理由。</w:t>
      </w:r>
    </w:p>
    <w:p w14:paraId="5654BEE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业务受理单位：各乡镇人民政府</w:t>
      </w:r>
    </w:p>
    <w:p w14:paraId="26A8977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78"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3.审核。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</w:rPr>
        <w:t>乡镇人民政府(街道办事处)应当</w:t>
      </w:r>
      <w:r>
        <w:rPr>
          <w:rFonts w:hint="eastAsia" w:ascii="仿宋_GB2312" w:hAnsi="仿宋_GB2312" w:eastAsia="仿宋_GB2312" w:cs="仿宋_GB2312"/>
          <w:spacing w:val="2"/>
          <w:sz w:val="32"/>
          <w:szCs w:val="32"/>
        </w:rPr>
        <w:t>自受理申请之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4"/>
          <w:sz w:val="32"/>
          <w:szCs w:val="32"/>
        </w:rPr>
        <w:t>日起15个工作日内，通过入户调查、邻里访问、信函索证、信息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核对等方式，对申请人的经济状况、实际生活状况以及赡养、抚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12"/>
          <w:sz w:val="32"/>
          <w:szCs w:val="32"/>
        </w:rPr>
        <w:t>养、扶养状况等进行调查核实，并提出审核意见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-6"/>
          <w:sz w:val="32"/>
          <w:szCs w:val="32"/>
        </w:rPr>
        <w:t>申请人以及有关单位、组织或者个人应当配合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调查，如实提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供有关情况。村(居)民委员会应当协助乡镇人民政府(街道办</w:t>
      </w:r>
      <w:r>
        <w:rPr>
          <w:rFonts w:hint="eastAsia" w:ascii="仿宋_GB2312" w:hAnsi="仿宋_GB2312" w:eastAsia="仿宋_GB2312" w:cs="仿宋_GB2312"/>
          <w:spacing w:val="4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1"/>
          <w:sz w:val="32"/>
          <w:szCs w:val="32"/>
        </w:rPr>
        <w:t>事处)开展调查核实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。</w:t>
      </w:r>
    </w:p>
    <w:p w14:paraId="640686C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4.公示。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乡镇人民政府(街道办事处)对拟确认为特困人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员的，在申请人所在村(社区)公示，公示期</w:t>
      </w:r>
      <w:r>
        <w:rPr>
          <w:rFonts w:hint="eastAsia" w:ascii="仿宋_GB2312" w:hAnsi="仿宋_GB2312" w:eastAsia="仿宋_GB2312" w:cs="仿宋_GB2312"/>
          <w:spacing w:val="10"/>
          <w:sz w:val="32"/>
          <w:szCs w:val="32"/>
        </w:rPr>
        <w:t>为7天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。</w:t>
      </w:r>
    </w:p>
    <w:p w14:paraId="18E5BDC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</w:t>
      </w:r>
      <w:r>
        <w:rPr>
          <w:rFonts w:hint="eastAsia" w:ascii="仿宋_GB2312" w:hAnsi="仿宋_GB2312" w:eastAsia="仿宋_GB2312" w:cs="仿宋_GB2312"/>
          <w:spacing w:val="10"/>
          <w:sz w:val="32"/>
          <w:szCs w:val="32"/>
        </w:rPr>
        <w:t>公示期满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6"/>
          <w:sz w:val="32"/>
          <w:szCs w:val="32"/>
        </w:rPr>
        <w:t>无异议的，应当及时予以确认。对公示有异议的，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乡镇人民政府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ab/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(街道办事处)应当重新组织调查核实，视情组织民主评议，在</w:t>
      </w:r>
      <w:r>
        <w:rPr>
          <w:rFonts w:hint="eastAsia" w:ascii="仿宋_GB2312" w:hAnsi="仿宋_GB2312" w:eastAsia="仿宋_GB2312" w:cs="仿宋_GB2312"/>
          <w:spacing w:val="4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8"/>
          <w:sz w:val="32"/>
          <w:szCs w:val="32"/>
        </w:rPr>
        <w:t>15个工作日内提出审核意见，并重新公示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。</w:t>
      </w:r>
    </w:p>
    <w:p w14:paraId="29B06CD3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5.确认。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对确认的特困人员，乡镇人民政府(街道办事处)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6"/>
          <w:sz w:val="32"/>
          <w:szCs w:val="32"/>
        </w:rPr>
        <w:t>应当为其建立完善的救助供养档案，将经调查核实后确认为特困</w:t>
      </w:r>
      <w:r>
        <w:rPr>
          <w:rFonts w:hint="eastAsia" w:ascii="仿宋_GB2312" w:hAnsi="仿宋_GB2312" w:eastAsia="仿宋_GB2312" w:cs="仿宋_GB2312"/>
          <w:spacing w:val="8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6"/>
          <w:sz w:val="32"/>
          <w:szCs w:val="32"/>
        </w:rPr>
        <w:t>人员的名单连同申请、调查核实等相关材料报送县级人民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政府民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6"/>
          <w:sz w:val="32"/>
          <w:szCs w:val="32"/>
        </w:rPr>
        <w:t>政部门。县级人民政府民政部门从确认之日下月起给予相应的救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</w:rPr>
        <w:t>助供养待遇，并通过乡镇人民政府在申请人所在村(社区)公布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。</w:t>
      </w:r>
    </w:p>
    <w:p w14:paraId="1B4FA5E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6.终止</w:t>
      </w:r>
    </w:p>
    <w:p w14:paraId="4FDA04E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（1）死亡或者被宣告死亡、被宣告失踪；</w:t>
      </w:r>
    </w:p>
    <w:p w14:paraId="6EB2F8A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（2）具备或者恢复劳动能力；</w:t>
      </w:r>
    </w:p>
    <w:p w14:paraId="7F5CDB6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（3）依法被判处刑罚，且在监狱服刑；</w:t>
      </w:r>
    </w:p>
    <w:p w14:paraId="4F519EF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（4）</w:t>
      </w:r>
      <w:r>
        <w:rPr>
          <w:rFonts w:hint="eastAsia" w:ascii="仿宋_GB2312" w:hAnsi="仿宋_GB2312" w:eastAsia="仿宋_GB2312" w:cs="仿宋_GB2312"/>
          <w:spacing w:val="-4"/>
          <w:sz w:val="32"/>
          <w:szCs w:val="32"/>
        </w:rPr>
        <w:t>收入</w:t>
      </w:r>
      <w:r>
        <w:rPr>
          <w:rFonts w:hint="eastAsia" w:ascii="仿宋_GB2312" w:hAnsi="仿宋_GB2312" w:eastAsia="仿宋_GB2312" w:cs="仿宋_GB2312"/>
          <w:spacing w:val="-4"/>
          <w:sz w:val="32"/>
          <w:szCs w:val="32"/>
          <w:lang w:eastAsia="zh-CN"/>
        </w:rPr>
        <w:t>高</w:t>
      </w:r>
      <w:r>
        <w:rPr>
          <w:rFonts w:hint="eastAsia" w:ascii="仿宋_GB2312" w:hAnsi="仿宋_GB2312" w:eastAsia="仿宋_GB2312" w:cs="仿宋_GB2312"/>
          <w:spacing w:val="-4"/>
          <w:sz w:val="32"/>
          <w:szCs w:val="32"/>
        </w:rPr>
        <w:t>于当地最低生活保障标准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；</w:t>
      </w:r>
    </w:p>
    <w:p w14:paraId="28D6826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（5）</w:t>
      </w:r>
      <w:r>
        <w:rPr>
          <w:rFonts w:hint="eastAsia" w:ascii="仿宋_GB2312" w:hAnsi="仿宋_GB2312" w:eastAsia="仿宋_GB2312" w:cs="仿宋_GB2312"/>
          <w:spacing w:val="4"/>
          <w:sz w:val="32"/>
          <w:szCs w:val="32"/>
        </w:rPr>
        <w:t>法定义务人具有了履行义务能力或者新增具有履行义务</w:t>
      </w:r>
      <w:r>
        <w:rPr>
          <w:rFonts w:hint="eastAsia" w:ascii="仿宋_GB2312" w:hAnsi="仿宋_GB2312" w:eastAsia="仿宋_GB2312" w:cs="仿宋_GB2312"/>
          <w:spacing w:val="1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11"/>
          <w:sz w:val="32"/>
          <w:szCs w:val="32"/>
        </w:rPr>
        <w:t>能力的法定义务人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；</w:t>
      </w:r>
    </w:p>
    <w:p w14:paraId="0067649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　　（6）自愿申请退出救助供养。</w:t>
      </w:r>
    </w:p>
    <w:p w14:paraId="6FF502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01" w:line="560" w:lineRule="exact"/>
        <w:ind w:right="102" w:firstLine="628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3"/>
          <w:sz w:val="32"/>
          <w:szCs w:val="32"/>
        </w:rPr>
        <w:t>特困人员中的未成年人，可继续享有救助供养待遇至</w:t>
      </w:r>
      <w:r>
        <w:rPr>
          <w:rFonts w:hint="eastAsia" w:ascii="仿宋_GB2312" w:hAnsi="仿宋_GB2312" w:eastAsia="仿宋_GB2312" w:cs="仿宋_GB2312"/>
          <w:spacing w:val="-4"/>
          <w:sz w:val="32"/>
          <w:szCs w:val="32"/>
        </w:rPr>
        <w:t>18周岁</w:t>
      </w:r>
      <w:r>
        <w:rPr>
          <w:rFonts w:hint="eastAsia" w:ascii="仿宋_GB2312" w:hAnsi="仿宋_GB2312" w:eastAsia="仿宋_GB2312" w:cs="仿宋_GB2312"/>
          <w:spacing w:val="-4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</w:rPr>
        <w:t>年满18周岁仍在接受义务教育或者在普通高中、中等职业学校就</w:t>
      </w:r>
      <w:r>
        <w:rPr>
          <w:rFonts w:hint="eastAsia" w:ascii="仿宋_GB2312" w:hAnsi="仿宋_GB2312" w:eastAsia="仿宋_GB2312" w:cs="仿宋_GB2312"/>
          <w:spacing w:val="1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pacing w:val="-4"/>
          <w:sz w:val="32"/>
          <w:szCs w:val="32"/>
        </w:rPr>
        <w:t>读的，可继续享有救助供养待遇。</w:t>
      </w:r>
    </w:p>
    <w:p w14:paraId="726DF8A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333333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color w:val="333333"/>
          <w:kern w:val="2"/>
          <w:sz w:val="32"/>
          <w:szCs w:val="32"/>
          <w:lang w:val="en-US" w:eastAsia="zh-CN" w:bidi="ar-SA"/>
        </w:rPr>
        <w:t>四、特困人员救助供养</w:t>
      </w: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color w:val="333333"/>
          <w:kern w:val="2"/>
          <w:sz w:val="32"/>
          <w:szCs w:val="32"/>
          <w:lang w:val="en-US" w:eastAsia="zh-CN" w:bidi="ar-SA"/>
        </w:rPr>
        <w:t>救助标准</w:t>
      </w:r>
    </w:p>
    <w:p w14:paraId="224A73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fill="FFFFFF"/>
          <w:lang w:eastAsia="zh-CN"/>
        </w:rPr>
        <w:t>城市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fill="FFFFFF"/>
        </w:rPr>
        <w:t>特困人员基本生活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fill="FFFFFF"/>
          <w:lang w:eastAsia="zh-CN"/>
        </w:rPr>
        <w:t>救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fill="FFFFFF"/>
        </w:rPr>
        <w:t>助标准为每人每月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fill="FFFFFF"/>
          <w:lang w:val="en-US" w:eastAsia="zh-CN"/>
        </w:rPr>
        <w:t>839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fill="FFFFFF"/>
        </w:rPr>
        <w:t>元，农村特困人员基本生活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fill="FFFFFF"/>
          <w:lang w:eastAsia="zh-CN"/>
        </w:rPr>
        <w:t>救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fill="FFFFFF"/>
        </w:rPr>
        <w:t>助标准为每人每月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fill="FFFFFF"/>
          <w:lang w:val="en-US" w:eastAsia="zh-CN"/>
        </w:rPr>
        <w:t>592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fill="FFFFFF"/>
        </w:rPr>
        <w:t>元。城乡特困人员照料护理标准按照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fill="FFFFFF"/>
          <w:lang w:eastAsia="zh-CN"/>
        </w:rPr>
        <w:t>全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fill="FFFFFF"/>
        </w:rPr>
        <w:t>自理、半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fill="FFFFFF"/>
          <w:lang w:eastAsia="zh-CN"/>
        </w:rPr>
        <w:t>护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fill="FFFFFF"/>
        </w:rPr>
        <w:t>理、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fill="FFFFFF"/>
          <w:lang w:eastAsia="zh-CN"/>
        </w:rPr>
        <w:t>全护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fill="FFFFFF"/>
        </w:rPr>
        <w:t>理分为三档，分别为每人每月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fill="FFFFFF"/>
          <w:lang w:val="en-US" w:eastAsia="zh-CN"/>
        </w:rPr>
        <w:t>87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fill="FFFFFF"/>
        </w:rPr>
        <w:t>元、3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fill="FFFFFF"/>
          <w:lang w:val="en-US" w:eastAsia="zh-CN"/>
        </w:rPr>
        <w:t>50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fill="FFFFFF"/>
        </w:rPr>
        <w:t>元、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fill="FFFFFF"/>
          <w:lang w:val="en-US" w:eastAsia="zh-CN"/>
        </w:rPr>
        <w:t>700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fill="FFFFFF"/>
        </w:rPr>
        <w:t>元。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C64584D-B20D-4BB2-92A1-B750DE8398E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939EA1BB-1C23-40D9-BB55-E4FFE7636115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22BA1744-4435-4C8A-8D4B-2A1BD9DFB73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0F1D03"/>
    <w:rsid w:val="19560788"/>
    <w:rsid w:val="4D257EB8"/>
    <w:rsid w:val="55F1665C"/>
    <w:rsid w:val="5E66751C"/>
    <w:rsid w:val="66297A03"/>
    <w:rsid w:val="7C967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  <w:style w:type="character" w:styleId="5">
    <w:name w:val="FollowedHyperlink"/>
    <w:basedOn w:val="4"/>
    <w:qFormat/>
    <w:uiPriority w:val="0"/>
    <w:rPr>
      <w:color w:val="333333"/>
      <w:u w:val="none"/>
    </w:rPr>
  </w:style>
  <w:style w:type="character" w:styleId="6">
    <w:name w:val="Emphasis"/>
    <w:basedOn w:val="4"/>
    <w:qFormat/>
    <w:uiPriority w:val="0"/>
  </w:style>
  <w:style w:type="character" w:styleId="7">
    <w:name w:val="Hyperlink"/>
    <w:basedOn w:val="4"/>
    <w:qFormat/>
    <w:uiPriority w:val="0"/>
    <w:rPr>
      <w:color w:val="333333"/>
      <w:u w:val="none"/>
    </w:rPr>
  </w:style>
  <w:style w:type="character" w:customStyle="1" w:styleId="8">
    <w:name w:val="li2"/>
    <w:basedOn w:val="4"/>
    <w:qFormat/>
    <w:uiPriority w:val="0"/>
    <w:rPr>
      <w:color w:val="1658A0"/>
      <w:bdr w:val="single" w:color="1658A0" w:sz="6" w:space="0"/>
    </w:rPr>
  </w:style>
  <w:style w:type="character" w:customStyle="1" w:styleId="9">
    <w:name w:val="icon2"/>
    <w:basedOn w:val="4"/>
    <w:qFormat/>
    <w:uiPriority w:val="0"/>
  </w:style>
  <w:style w:type="character" w:customStyle="1" w:styleId="10">
    <w:name w:val="icon21"/>
    <w:basedOn w:val="4"/>
    <w:qFormat/>
    <w:uiPriority w:val="0"/>
  </w:style>
  <w:style w:type="character" w:customStyle="1" w:styleId="11">
    <w:name w:val="icon22"/>
    <w:basedOn w:val="4"/>
    <w:qFormat/>
    <w:uiPriority w:val="0"/>
  </w:style>
  <w:style w:type="character" w:customStyle="1" w:styleId="12">
    <w:name w:val="hover39"/>
    <w:basedOn w:val="4"/>
    <w:qFormat/>
    <w:uiPriority w:val="0"/>
  </w:style>
  <w:style w:type="character" w:customStyle="1" w:styleId="13">
    <w:name w:val="icon1"/>
    <w:basedOn w:val="4"/>
    <w:qFormat/>
    <w:uiPriority w:val="0"/>
  </w:style>
  <w:style w:type="character" w:customStyle="1" w:styleId="14">
    <w:name w:val="icon11"/>
    <w:basedOn w:val="4"/>
    <w:qFormat/>
    <w:uiPriority w:val="0"/>
  </w:style>
  <w:style w:type="character" w:customStyle="1" w:styleId="15">
    <w:name w:val="icon12"/>
    <w:basedOn w:val="4"/>
    <w:qFormat/>
    <w:uiPriority w:val="0"/>
  </w:style>
  <w:style w:type="character" w:customStyle="1" w:styleId="16">
    <w:name w:val="share&gt;i"/>
    <w:basedOn w:val="4"/>
    <w:qFormat/>
    <w:uiPriority w:val="0"/>
  </w:style>
  <w:style w:type="character" w:customStyle="1" w:styleId="17">
    <w:name w:val="share"/>
    <w:basedOn w:val="4"/>
    <w:qFormat/>
    <w:uiPriority w:val="0"/>
    <w:rPr>
      <w:color w:val="999999"/>
      <w:sz w:val="21"/>
      <w:szCs w:val="21"/>
    </w:rPr>
  </w:style>
  <w:style w:type="character" w:customStyle="1" w:styleId="18">
    <w:name w:val="icon3"/>
    <w:basedOn w:val="4"/>
    <w:qFormat/>
    <w:uiPriority w:val="0"/>
  </w:style>
  <w:style w:type="character" w:customStyle="1" w:styleId="19">
    <w:name w:val="icon31"/>
    <w:basedOn w:val="4"/>
    <w:qFormat/>
    <w:uiPriority w:val="0"/>
  </w:style>
  <w:style w:type="character" w:customStyle="1" w:styleId="20">
    <w:name w:val="icon32"/>
    <w:basedOn w:val="4"/>
    <w:qFormat/>
    <w:uiPriority w:val="0"/>
  </w:style>
  <w:style w:type="character" w:customStyle="1" w:styleId="21">
    <w:name w:val="icon4"/>
    <w:basedOn w:val="4"/>
    <w:qFormat/>
    <w:uiPriority w:val="0"/>
  </w:style>
  <w:style w:type="character" w:customStyle="1" w:styleId="22">
    <w:name w:val="icon41"/>
    <w:basedOn w:val="4"/>
    <w:qFormat/>
    <w:uiPriority w:val="0"/>
  </w:style>
  <w:style w:type="character" w:customStyle="1" w:styleId="23">
    <w:name w:val="icon42"/>
    <w:basedOn w:val="4"/>
    <w:qFormat/>
    <w:uiPriority w:val="0"/>
  </w:style>
  <w:style w:type="character" w:customStyle="1" w:styleId="24">
    <w:name w:val="jxz"/>
    <w:basedOn w:val="4"/>
    <w:qFormat/>
    <w:uiPriority w:val="0"/>
    <w:rPr>
      <w:color w:val="1658A0"/>
    </w:rPr>
  </w:style>
  <w:style w:type="character" w:customStyle="1" w:styleId="25">
    <w:name w:val="slb-rig06"/>
    <w:basedOn w:val="4"/>
    <w:qFormat/>
    <w:uiPriority w:val="0"/>
  </w:style>
  <w:style w:type="character" w:customStyle="1" w:styleId="26">
    <w:name w:val="last-child"/>
    <w:basedOn w:val="4"/>
    <w:qFormat/>
    <w:uiPriority w:val="0"/>
  </w:style>
  <w:style w:type="character" w:customStyle="1" w:styleId="27">
    <w:name w:val="last-child1"/>
    <w:basedOn w:val="4"/>
    <w:qFormat/>
    <w:uiPriority w:val="0"/>
  </w:style>
  <w:style w:type="character" w:customStyle="1" w:styleId="28">
    <w:name w:val="last-child2"/>
    <w:basedOn w:val="4"/>
    <w:qFormat/>
    <w:uiPriority w:val="0"/>
  </w:style>
  <w:style w:type="character" w:customStyle="1" w:styleId="29">
    <w:name w:val="slb-rig02"/>
    <w:basedOn w:val="4"/>
    <w:qFormat/>
    <w:uiPriority w:val="0"/>
  </w:style>
  <w:style w:type="character" w:customStyle="1" w:styleId="30">
    <w:name w:val="slb-rig021"/>
    <w:basedOn w:val="4"/>
    <w:qFormat/>
    <w:uiPriority w:val="0"/>
  </w:style>
  <w:style w:type="character" w:customStyle="1" w:styleId="31">
    <w:name w:val="bm-icon1"/>
    <w:basedOn w:val="4"/>
    <w:qFormat/>
    <w:uiPriority w:val="0"/>
    <w:rPr>
      <w:shd w:val="clear" w:fill="1658A0"/>
    </w:rPr>
  </w:style>
  <w:style w:type="character" w:customStyle="1" w:styleId="32">
    <w:name w:val="bm-icon2"/>
    <w:basedOn w:val="4"/>
    <w:qFormat/>
    <w:uiPriority w:val="0"/>
    <w:rPr>
      <w:shd w:val="clear" w:fill="1658A0"/>
    </w:rPr>
  </w:style>
  <w:style w:type="character" w:customStyle="1" w:styleId="33">
    <w:name w:val="slb-rig01"/>
    <w:basedOn w:val="4"/>
    <w:qFormat/>
    <w:uiPriority w:val="0"/>
  </w:style>
  <w:style w:type="character" w:customStyle="1" w:styleId="34">
    <w:name w:val="slb-rig011"/>
    <w:basedOn w:val="4"/>
    <w:qFormat/>
    <w:uiPriority w:val="0"/>
  </w:style>
  <w:style w:type="character" w:customStyle="1" w:styleId="35">
    <w:name w:val="slb-rig05"/>
    <w:basedOn w:val="4"/>
    <w:qFormat/>
    <w:uiPriority w:val="0"/>
  </w:style>
  <w:style w:type="character" w:customStyle="1" w:styleId="36">
    <w:name w:val="slb-rig03"/>
    <w:basedOn w:val="4"/>
    <w:qFormat/>
    <w:uiPriority w:val="0"/>
  </w:style>
  <w:style w:type="character" w:customStyle="1" w:styleId="37">
    <w:name w:val="slb-rig031"/>
    <w:basedOn w:val="4"/>
    <w:qFormat/>
    <w:uiPriority w:val="0"/>
  </w:style>
  <w:style w:type="character" w:customStyle="1" w:styleId="38">
    <w:name w:val="slb-rig04"/>
    <w:basedOn w:val="4"/>
    <w:qFormat/>
    <w:uiPriority w:val="0"/>
  </w:style>
  <w:style w:type="character" w:customStyle="1" w:styleId="39">
    <w:name w:val="slb-rig041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1624</Words>
  <Characters>1652</Characters>
  <Lines>0</Lines>
  <Paragraphs>0</Paragraphs>
  <TotalTime>1</TotalTime>
  <ScaleCrop>false</ScaleCrop>
  <LinksUpToDate>false</LinksUpToDate>
  <CharactersWithSpaces>1745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2025-03-25T01:47:00Z</dcterms:created>
  <dc:creator>Administrator</dc:creator>
  <cp:lastModifiedBy>白超</cp:lastModifiedBy>
  <dcterms:modified xsi:type="dcterms:W3CDTF">2025-05-13T10:06:41Z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eyJoZGlkIjoiYjQ5YjQ2ODRiMzc5ODIxMmY1YjUxY2U0NGY5YmVlMTciLCJ1c2VySWQiOiIyMzQ3ODE1NTYifQ==</vt:lpwstr>
  </property>
  <property fmtid="{D5CDD505-2E9C-101B-9397-08002B2CF9AE}" pid="4" name="ICV">
    <vt:lpwstr>1ED3C89CB96E4612B90F509C0F7ACD9E_12</vt:lpwstr>
  </property>
</Properties>
</file>