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hAnsi="方正小标宋简体" w:eastAsia="方正小标宋简体" w:cs="方正小标宋简体"/>
          <w:sz w:val="44"/>
          <w:szCs w:val="44"/>
          <w:lang w:val="en-US" w:eastAsia="zh-CN"/>
        </w:rPr>
      </w:pPr>
      <w:bookmarkStart w:id="9" w:name="_GoBack"/>
      <w:bookmarkEnd w:id="9"/>
      <w:r>
        <w:rPr>
          <w:rFonts w:hint="eastAsia" w:ascii="方正小标宋简体" w:hAnsi="方正小标宋简体" w:eastAsia="方正小标宋简体" w:cs="方正小标宋简体"/>
          <w:sz w:val="44"/>
          <w:szCs w:val="44"/>
          <w:lang w:val="en-US" w:eastAsia="zh-CN"/>
        </w:rPr>
        <w:t>临时救助办事指南</w:t>
      </w:r>
    </w:p>
    <w:p>
      <w:pPr>
        <w:numPr>
          <w:ilvl w:val="0"/>
          <w:numId w:val="0"/>
        </w:numPr>
        <w:ind w:firstLine="640" w:firstLineChars="200"/>
        <w:rPr>
          <w:rFonts w:hint="eastAsia" w:ascii="黑体" w:hAnsi="黑体" w:eastAsia="黑体" w:cs="黑体"/>
          <w:sz w:val="32"/>
          <w:szCs w:val="32"/>
          <w:lang w:val="en-US" w:eastAsia="zh-CN"/>
        </w:rPr>
      </w:pPr>
      <w:r>
        <w:rPr>
          <w:rFonts w:hint="eastAsia" w:ascii="黑体" w:hAnsi="黑体" w:eastAsia="黑体" w:cs="黑体"/>
          <w:kern w:val="2"/>
          <w:sz w:val="32"/>
          <w:szCs w:val="32"/>
          <w:lang w:val="en-US" w:eastAsia="zh-CN" w:bidi="ar-SA"/>
        </w:rPr>
        <w:t>一、</w:t>
      </w:r>
      <w:r>
        <w:rPr>
          <w:rFonts w:hint="eastAsia" w:ascii="黑体" w:hAnsi="黑体" w:eastAsia="黑体" w:cs="黑体"/>
          <w:sz w:val="32"/>
          <w:szCs w:val="32"/>
          <w:lang w:val="en-US" w:eastAsia="zh-CN"/>
        </w:rPr>
        <w:t>政策依据</w:t>
      </w:r>
    </w:p>
    <w:p>
      <w:pPr>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《河南省民政厅 河南省财政厅 河南省扶贫开发办公室关于进一步加强和改进临时救助工作的实施意见》（豫民文〔2019〕194号）</w:t>
      </w:r>
    </w:p>
    <w:p>
      <w:pPr>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《周口市民政局 周口市财政局 周口市扶贫开发办公室关于进一步加强和改进临时救助工作的实施意见》（周民文〔2020〕2号）</w:t>
      </w:r>
    </w:p>
    <w:p>
      <w:pPr>
        <w:numPr>
          <w:ilvl w:val="0"/>
          <w:numId w:val="0"/>
        </w:numPr>
        <w:ind w:firstLine="640" w:firstLineChars="200"/>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二、申请对象</w:t>
      </w:r>
    </w:p>
    <w:p>
      <w:pPr>
        <w:numPr>
          <w:ilvl w:val="0"/>
          <w:numId w:val="0"/>
        </w:numPr>
        <w:ind w:leftChars="0" w:firstLine="640" w:firstLineChars="200"/>
        <w:rPr>
          <w:rFonts w:hint="eastAsia" w:ascii="仿宋_GB2312" w:hAnsi="仿宋_GB2312" w:eastAsia="仿宋_GB2312" w:cs="仿宋_GB2312"/>
          <w:sz w:val="32"/>
          <w:szCs w:val="32"/>
          <w:lang w:val="en-US" w:eastAsia="zh-CN"/>
        </w:rPr>
      </w:pPr>
      <w:bookmarkStart w:id="0" w:name="OLE_LINK1"/>
      <w:r>
        <w:rPr>
          <w:rFonts w:hint="eastAsia" w:ascii="仿宋_GB2312" w:hAnsi="仿宋_GB2312" w:eastAsia="仿宋_GB2312" w:cs="仿宋_GB2312"/>
          <w:sz w:val="32"/>
          <w:szCs w:val="32"/>
          <w:lang w:val="en-US" w:eastAsia="zh-CN"/>
        </w:rPr>
        <w:t>临时救助对象分为急难型救助对象和支出型救助对象。</w:t>
      </w:r>
    </w:p>
    <w:p>
      <w:pPr>
        <w:numPr>
          <w:ilvl w:val="0"/>
          <w:numId w:val="0"/>
        </w:numPr>
        <w:ind w:leftChars="0"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color w:val="FF0000"/>
          <w:sz w:val="32"/>
          <w:szCs w:val="32"/>
          <w:lang w:val="en-US" w:eastAsia="zh-CN"/>
        </w:rPr>
        <w:t>急难型救助对象：</w:t>
      </w:r>
      <w:r>
        <w:rPr>
          <w:rFonts w:hint="eastAsia" w:ascii="仿宋_GB2312" w:hAnsi="仿宋_GB2312" w:eastAsia="仿宋_GB2312" w:cs="仿宋_GB2312"/>
          <w:sz w:val="32"/>
          <w:szCs w:val="32"/>
          <w:lang w:val="en-US" w:eastAsia="zh-CN"/>
        </w:rPr>
        <w:t>①因火灾、交通事故等意外事件，或家庭成员突发重大疾病及遭遇其他特殊困难等原因，导致基本生活暂时出现严重困难、需要立即采取救助措施的家庭或个人。②其他特殊原因造成基本生活难以维持，需立即采取救助措施防止造成人员死亡、伤残等严重后果的家庭或个人。</w:t>
      </w:r>
    </w:p>
    <w:p>
      <w:pPr>
        <w:numPr>
          <w:ilvl w:val="0"/>
          <w:numId w:val="0"/>
        </w:numPr>
        <w:ind w:leftChars="0"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color w:val="FF0000"/>
          <w:sz w:val="32"/>
          <w:szCs w:val="32"/>
          <w:lang w:val="en-US" w:eastAsia="zh-CN"/>
        </w:rPr>
        <w:t>支出型救助对象：</w:t>
      </w:r>
      <w:r>
        <w:rPr>
          <w:rFonts w:hint="eastAsia" w:ascii="仿宋_GB2312" w:hAnsi="仿宋_GB2312" w:eastAsia="仿宋_GB2312" w:cs="仿宋_GB2312"/>
          <w:sz w:val="32"/>
          <w:szCs w:val="32"/>
          <w:lang w:val="en-US" w:eastAsia="zh-CN"/>
        </w:rPr>
        <w:t>因客观原因造成家庭收入突然大幅下降，或因教育、医疗等生活必需支出突然大幅增加暂时超出家庭承受能力，导致一定时期内家庭基本生活出现严重困难的家庭或个人。原则上其家庭人均可支配收入应低于当地上年度人均可支配收入，且家庭财产状况符合当地有关规定（原则上家庭人均金融资产扣除刚性支出后不超过当地当年低保标准的3倍，不得拥有2套以上产权住房）。对在解决住房问题过程中基本生活遇到困难的建档立卡贫困户、最低生活保障家庭和分散供养特困人员，要通过临时救助及时保障好他们的基本生活。</w:t>
      </w:r>
    </w:p>
    <w:p>
      <w:pPr>
        <w:numPr>
          <w:ilvl w:val="0"/>
          <w:numId w:val="0"/>
        </w:numPr>
        <w:ind w:firstLine="640" w:firstLineChars="200"/>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三、注意事项</w:t>
      </w:r>
    </w:p>
    <w:p>
      <w:pPr>
        <w:numPr>
          <w:ilvl w:val="0"/>
          <w:numId w:val="0"/>
        </w:numPr>
        <w:ind w:leftChars="0"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有下列情形之一的不予实施临时生活救助：</w:t>
      </w:r>
    </w:p>
    <w:p>
      <w:pPr>
        <w:numPr>
          <w:ilvl w:val="0"/>
          <w:numId w:val="0"/>
        </w:numPr>
        <w:ind w:leftChars="0"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1、因打架斗殴、交通肇事、酗酒、赌博、吸毒等原因导致家庭生活困难的；</w:t>
      </w:r>
    </w:p>
    <w:p>
      <w:pPr>
        <w:numPr>
          <w:ilvl w:val="0"/>
          <w:numId w:val="0"/>
        </w:numPr>
        <w:ind w:leftChars="0"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2、参与政府明令禁止的非法组织活动的；</w:t>
      </w:r>
    </w:p>
    <w:p>
      <w:pPr>
        <w:numPr>
          <w:ilvl w:val="0"/>
          <w:numId w:val="0"/>
        </w:numPr>
        <w:ind w:leftChars="0"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3、拒绝管理机关调查，隐瞒或不提供家庭真实收入，出具虚假证明的；</w:t>
      </w:r>
    </w:p>
    <w:p>
      <w:pPr>
        <w:numPr>
          <w:ilvl w:val="0"/>
          <w:numId w:val="0"/>
        </w:numPr>
        <w:ind w:leftChars="0"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4、无理取闹或谩骂、侮辱、威胁工作人员的。</w:t>
      </w:r>
    </w:p>
    <w:p>
      <w:pPr>
        <w:numPr>
          <w:ilvl w:val="0"/>
          <w:numId w:val="0"/>
        </w:numPr>
        <w:ind w:firstLine="640" w:firstLineChars="200"/>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四、救助标准</w:t>
      </w:r>
    </w:p>
    <w:p>
      <w:pPr>
        <w:numPr>
          <w:ilvl w:val="0"/>
          <w:numId w:val="0"/>
        </w:numPr>
        <w:ind w:leftChars="0"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1、实行乡镇临时救助备用金制度，</w:t>
      </w:r>
      <w:bookmarkStart w:id="1" w:name="OLE_LINK2"/>
      <w:r>
        <w:rPr>
          <w:rFonts w:hint="eastAsia" w:ascii="仿宋_GB2312" w:hAnsi="仿宋_GB2312" w:eastAsia="仿宋_GB2312" w:cs="仿宋_GB2312"/>
          <w:sz w:val="32"/>
          <w:szCs w:val="32"/>
          <w:lang w:val="en-US" w:eastAsia="zh-CN"/>
        </w:rPr>
        <w:t>临时救助金额在当地当年城市月低保标准3倍以内的由乡镇审批。</w:t>
      </w:r>
    </w:p>
    <w:bookmarkEnd w:id="1"/>
    <w:p>
      <w:pPr>
        <w:numPr>
          <w:ilvl w:val="0"/>
          <w:numId w:val="0"/>
        </w:numPr>
        <w:ind w:leftChars="0"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2、按照遭遇情形给予不同的标准：①急难型困难家庭、支出型困难家庭、困境个人，年医疗费用支出、财产损失、生活必须支出等未超过家庭年收入的，救助时限为不超过2个月。</w:t>
      </w:r>
    </w:p>
    <w:p>
      <w:pPr>
        <w:numPr>
          <w:ilvl w:val="0"/>
          <w:numId w:val="0"/>
        </w:numPr>
        <w:ind w:leftChars="0"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②急难型困难家庭、支出型困难家庭、困境个人，年医疗费用支出、财产损失、生活必须支出等超过家庭年收入的，救助时限为不超过3个月。</w:t>
      </w:r>
    </w:p>
    <w:p>
      <w:pPr>
        <w:numPr>
          <w:ilvl w:val="0"/>
          <w:numId w:val="0"/>
        </w:numPr>
        <w:ind w:leftChars="0"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③急难型困难家庭，有人死亡或财产重大损失的，救助时限不超过6个月。</w:t>
      </w:r>
    </w:p>
    <w:p>
      <w:pPr>
        <w:numPr>
          <w:ilvl w:val="0"/>
          <w:numId w:val="0"/>
        </w:numPr>
        <w:ind w:leftChars="0"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特别重大的急难型救助可采取“一事一议”给予救助。</w:t>
      </w:r>
    </w:p>
    <w:p>
      <w:pPr>
        <w:numPr>
          <w:ilvl w:val="0"/>
          <w:numId w:val="1"/>
        </w:numPr>
        <w:ind w:firstLine="640" w:firstLineChars="200"/>
        <w:rPr>
          <w:rFonts w:hint="default" w:ascii="黑体" w:hAnsi="黑体" w:eastAsia="黑体" w:cs="黑体"/>
          <w:kern w:val="2"/>
          <w:sz w:val="32"/>
          <w:szCs w:val="32"/>
          <w:lang w:val="en-US" w:eastAsia="zh-CN" w:bidi="ar-SA"/>
        </w:rPr>
      </w:pPr>
      <w:r>
        <w:rPr>
          <w:rFonts w:hint="default" w:ascii="黑体" w:hAnsi="黑体" w:eastAsia="黑体" w:cs="黑体"/>
          <w:kern w:val="2"/>
          <w:sz w:val="32"/>
          <w:szCs w:val="32"/>
          <w:lang w:val="en-US" w:eastAsia="zh-CN" w:bidi="ar-SA"/>
        </w:rPr>
        <w:t>办理流程</w:t>
      </w:r>
    </w:p>
    <w:p>
      <w:pPr>
        <w:numPr>
          <w:ilvl w:val="0"/>
          <w:numId w:val="0"/>
        </w:numPr>
        <w:ind w:leftChars="0" w:firstLine="640" w:firstLineChars="200"/>
        <w:rPr>
          <w:rFonts w:hint="default" w:ascii="仿宋_GB2312" w:hAnsi="仿宋_GB2312" w:eastAsia="仿宋_GB2312" w:cs="仿宋_GB2312"/>
          <w:sz w:val="32"/>
          <w:szCs w:val="32"/>
          <w:lang w:val="en-US" w:eastAsia="zh-CN"/>
        </w:rPr>
      </w:pPr>
      <w:bookmarkStart w:id="2" w:name="OLE_LINK10"/>
      <w:r>
        <w:rPr>
          <w:rFonts w:hint="eastAsia" w:ascii="仿宋_GB2312" w:hAnsi="仿宋_GB2312" w:eastAsia="仿宋_GB2312" w:cs="仿宋_GB2312"/>
          <w:sz w:val="32"/>
          <w:szCs w:val="32"/>
          <w:lang w:val="en-US" w:eastAsia="zh-CN"/>
        </w:rPr>
        <w:t>1.申请：困难群众申请人向户口所在地居、（村）委会提出申请</w:t>
      </w:r>
    </w:p>
    <w:bookmarkEnd w:id="2"/>
    <w:p>
      <w:pPr>
        <w:numPr>
          <w:ilvl w:val="0"/>
          <w:numId w:val="0"/>
        </w:numPr>
        <w:ind w:leftChars="0"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w:t>
      </w:r>
      <w:bookmarkStart w:id="3" w:name="OLE_LINK11"/>
      <w:r>
        <w:rPr>
          <w:rFonts w:hint="eastAsia" w:ascii="仿宋_GB2312" w:hAnsi="仿宋_GB2312" w:eastAsia="仿宋_GB2312" w:cs="仿宋_GB2312"/>
          <w:b w:val="0"/>
          <w:bCs w:val="0"/>
          <w:color w:val="auto"/>
          <w:sz w:val="32"/>
          <w:szCs w:val="32"/>
          <w:lang w:eastAsia="zh-CN"/>
        </w:rPr>
        <w:t>受理与初审:</w:t>
      </w:r>
      <w:r>
        <w:rPr>
          <w:rFonts w:hint="eastAsia" w:ascii="仿宋_GB2312" w:hAnsi="仿宋_GB2312" w:eastAsia="仿宋_GB2312" w:cs="仿宋_GB2312"/>
          <w:sz w:val="32"/>
          <w:szCs w:val="32"/>
          <w:lang w:val="en-US" w:eastAsia="zh-CN"/>
        </w:rPr>
        <w:t>居村委会评审小组入户调查核实，在村社区内进行公示，对符合救助条件的在临时救助申请审批表上签署意见报乡镇，初审通过。</w:t>
      </w:r>
    </w:p>
    <w:bookmarkEnd w:id="3"/>
    <w:p>
      <w:pPr>
        <w:numPr>
          <w:ilvl w:val="0"/>
          <w:numId w:val="0"/>
        </w:numPr>
        <w:ind w:leftChars="0"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b w:val="0"/>
          <w:bCs w:val="0"/>
          <w:color w:val="auto"/>
          <w:sz w:val="32"/>
          <w:szCs w:val="32"/>
          <w:lang w:eastAsia="zh-CN"/>
        </w:rPr>
        <w:t>家庭经济状况调查:</w:t>
      </w:r>
      <w:r>
        <w:rPr>
          <w:rFonts w:hint="default" w:ascii="仿宋_GB2312" w:hAnsi="仿宋_GB2312" w:eastAsia="仿宋_GB2312" w:cs="仿宋_GB2312"/>
          <w:sz w:val="32"/>
          <w:szCs w:val="32"/>
          <w:lang w:val="en-US" w:eastAsia="zh-CN"/>
        </w:rPr>
        <w:t>乡</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镇</w:t>
      </w:r>
      <w:r>
        <w:rPr>
          <w:rFonts w:hint="eastAsia" w:ascii="仿宋_GB2312" w:hAnsi="仿宋_GB2312" w:eastAsia="仿宋_GB2312" w:cs="仿宋_GB2312"/>
          <w:sz w:val="32"/>
          <w:szCs w:val="32"/>
          <w:lang w:val="en-US" w:eastAsia="zh-CN"/>
        </w:rPr>
        <w:t>/街道</w:t>
      </w:r>
      <w:r>
        <w:rPr>
          <w:rFonts w:hint="default" w:ascii="仿宋_GB2312" w:hAnsi="仿宋_GB2312" w:eastAsia="仿宋_GB2312" w:cs="仿宋_GB2312"/>
          <w:sz w:val="32"/>
          <w:szCs w:val="32"/>
          <w:lang w:val="en-US" w:eastAsia="zh-CN"/>
        </w:rPr>
        <w:t>人民政府通过入户调查等方式，对上报的申请材料进行核实，</w:t>
      </w:r>
      <w:r>
        <w:rPr>
          <w:rFonts w:hint="eastAsia" w:ascii="仿宋_GB2312" w:hAnsi="仿宋_GB2312" w:eastAsia="仿宋_GB2312" w:cs="仿宋_GB2312"/>
          <w:sz w:val="32"/>
          <w:szCs w:val="32"/>
          <w:lang w:val="en-US" w:eastAsia="zh-CN"/>
        </w:rPr>
        <w:t>根据困难情况救助</w:t>
      </w:r>
      <w:r>
        <w:rPr>
          <w:rFonts w:hint="default" w:ascii="仿宋_GB2312" w:hAnsi="仿宋_GB2312" w:eastAsia="仿宋_GB2312" w:cs="仿宋_GB2312"/>
          <w:sz w:val="32"/>
          <w:szCs w:val="32"/>
          <w:lang w:val="en-US" w:eastAsia="zh-CN"/>
        </w:rPr>
        <w:t>金额在当地当年城市月低保标准3倍以内的由乡镇</w:t>
      </w:r>
      <w:r>
        <w:rPr>
          <w:rFonts w:hint="eastAsia" w:ascii="仿宋_GB2312" w:hAnsi="仿宋_GB2312" w:eastAsia="仿宋_GB2312" w:cs="仿宋_GB2312"/>
          <w:sz w:val="32"/>
          <w:szCs w:val="32"/>
          <w:lang w:val="en-US" w:eastAsia="zh-CN"/>
        </w:rPr>
        <w:t>备用金</w:t>
      </w:r>
      <w:r>
        <w:rPr>
          <w:rFonts w:hint="default" w:ascii="仿宋_GB2312" w:hAnsi="仿宋_GB2312" w:eastAsia="仿宋_GB2312" w:cs="仿宋_GB2312"/>
          <w:sz w:val="32"/>
          <w:szCs w:val="32"/>
          <w:lang w:val="en-US" w:eastAsia="zh-CN"/>
        </w:rPr>
        <w:t>审批</w:t>
      </w:r>
      <w:r>
        <w:rPr>
          <w:rFonts w:hint="eastAsia" w:ascii="仿宋_GB2312" w:hAnsi="仿宋_GB2312" w:eastAsia="仿宋_GB2312" w:cs="仿宋_GB2312"/>
          <w:sz w:val="32"/>
          <w:szCs w:val="32"/>
          <w:lang w:val="en-US" w:eastAsia="zh-CN"/>
        </w:rPr>
        <w:t>；</w:t>
      </w:r>
      <w:bookmarkStart w:id="4" w:name="OLE_LINK6"/>
      <w:r>
        <w:rPr>
          <w:rFonts w:hint="eastAsia" w:ascii="仿宋_GB2312" w:hAnsi="仿宋_GB2312" w:eastAsia="仿宋_GB2312" w:cs="仿宋_GB2312"/>
          <w:sz w:val="32"/>
          <w:szCs w:val="32"/>
          <w:lang w:val="en-US" w:eastAsia="zh-CN"/>
        </w:rPr>
        <w:t>困难程度较大</w:t>
      </w:r>
      <w:bookmarkEnd w:id="4"/>
      <w:r>
        <w:rPr>
          <w:rFonts w:hint="eastAsia" w:ascii="仿宋_GB2312" w:hAnsi="仿宋_GB2312" w:eastAsia="仿宋_GB2312" w:cs="仿宋_GB2312"/>
          <w:sz w:val="32"/>
          <w:szCs w:val="32"/>
          <w:lang w:val="en-US" w:eastAsia="zh-CN"/>
        </w:rPr>
        <w:t>的上报区民政局进行</w:t>
      </w:r>
      <w:bookmarkStart w:id="5" w:name="OLE_LINK5"/>
      <w:r>
        <w:rPr>
          <w:rFonts w:hint="eastAsia" w:ascii="仿宋_GB2312" w:hAnsi="仿宋_GB2312" w:eastAsia="仿宋_GB2312" w:cs="仿宋_GB2312"/>
          <w:sz w:val="32"/>
          <w:szCs w:val="32"/>
          <w:lang w:val="en-US" w:eastAsia="zh-CN"/>
        </w:rPr>
        <w:t>审核审批</w:t>
      </w:r>
      <w:bookmarkEnd w:id="5"/>
      <w:r>
        <w:rPr>
          <w:rFonts w:hint="eastAsia" w:ascii="仿宋_GB2312" w:hAnsi="仿宋_GB2312" w:eastAsia="仿宋_GB2312" w:cs="仿宋_GB2312"/>
          <w:sz w:val="32"/>
          <w:szCs w:val="32"/>
          <w:lang w:val="en-US" w:eastAsia="zh-CN"/>
        </w:rPr>
        <w:t>。</w:t>
      </w:r>
    </w:p>
    <w:p>
      <w:pPr>
        <w:numPr>
          <w:ilvl w:val="0"/>
          <w:numId w:val="0"/>
        </w:numPr>
        <w:ind w:leftChars="0"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4.审核审批通过：区民政局对困难程度较大的</w:t>
      </w:r>
      <w:r>
        <w:rPr>
          <w:rFonts w:hint="default" w:ascii="仿宋_GB2312" w:hAnsi="仿宋_GB2312" w:eastAsia="仿宋_GB2312" w:cs="仿宋_GB2312"/>
          <w:sz w:val="32"/>
          <w:szCs w:val="32"/>
          <w:lang w:val="en-US" w:eastAsia="zh-CN"/>
        </w:rPr>
        <w:t>进行档案确认及管理</w:t>
      </w:r>
      <w:r>
        <w:rPr>
          <w:rFonts w:hint="eastAsia" w:ascii="仿宋_GB2312" w:hAnsi="仿宋_GB2312" w:eastAsia="仿宋_GB2312" w:cs="仿宋_GB2312"/>
          <w:sz w:val="32"/>
          <w:szCs w:val="32"/>
          <w:lang w:val="en-US" w:eastAsia="zh-CN"/>
        </w:rPr>
        <w:t xml:space="preserve">，经审核无误后区民政局将当月需发放的临时救助名册上传到《河南省惠民惠农财政补贴资金管理一卡通系统》 </w:t>
      </w:r>
    </w:p>
    <w:p>
      <w:pPr>
        <w:numPr>
          <w:ilvl w:val="0"/>
          <w:numId w:val="0"/>
        </w:numPr>
        <w:ind w:leftChars="0"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b w:val="0"/>
          <w:bCs w:val="0"/>
          <w:color w:val="auto"/>
          <w:sz w:val="32"/>
          <w:szCs w:val="32"/>
          <w:lang w:eastAsia="zh-CN"/>
        </w:rPr>
        <w:t>资金发放:</w:t>
      </w:r>
      <w:r>
        <w:rPr>
          <w:rFonts w:hint="eastAsia" w:ascii="仿宋_GB2312" w:hAnsi="仿宋_GB2312" w:eastAsia="仿宋_GB2312" w:cs="仿宋_GB2312"/>
          <w:sz w:val="32"/>
          <w:szCs w:val="32"/>
          <w:lang w:val="en-US" w:eastAsia="zh-CN"/>
        </w:rPr>
        <w:t>区财政部门复核后将资金足额拨付到代理金融机构，由代理金融机构将资金发放到救助对象社保卡上。</w:t>
      </w:r>
    </w:p>
    <w:p>
      <w:pPr>
        <w:numPr>
          <w:ilvl w:val="0"/>
          <w:numId w:val="0"/>
        </w:numPr>
        <w:ind w:leftChars="0"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监督举报地址：淮阳区龙都路与清风路交叉口民政局，投诉举报电话：0394-2667169</w:t>
      </w:r>
    </w:p>
    <w:p>
      <w:pPr>
        <w:tabs>
          <w:tab w:val="left" w:pos="815"/>
        </w:tabs>
        <w:bidi w:val="0"/>
        <w:jc w:val="left"/>
        <w:rPr>
          <w:rFonts w:hint="default" w:cstheme="minorBidi"/>
          <w:kern w:val="2"/>
          <w:sz w:val="22"/>
          <w:szCs w:val="28"/>
          <w:lang w:val="en-US" w:eastAsia="zh-CN" w:bidi="ar-SA"/>
        </w:rPr>
      </w:pPr>
    </w:p>
    <w:p>
      <w:pPr>
        <w:tabs>
          <w:tab w:val="left" w:pos="1753"/>
        </w:tabs>
        <w:bidi w:val="0"/>
        <w:jc w:val="left"/>
        <w:rPr>
          <w:rFonts w:hint="default" w:cstheme="minorBidi"/>
          <w:kern w:val="2"/>
          <w:sz w:val="22"/>
          <w:szCs w:val="28"/>
          <w:lang w:val="en-US" w:eastAsia="zh-CN" w:bidi="ar-SA"/>
        </w:rPr>
      </w:pPr>
    </w:p>
    <w:p>
      <w:pPr>
        <w:widowControl w:val="0"/>
        <w:numPr>
          <w:ilvl w:val="0"/>
          <w:numId w:val="0"/>
        </w:numPr>
        <w:jc w:val="both"/>
        <w:rPr>
          <w:rFonts w:hint="default" w:ascii="黑体" w:hAnsi="黑体" w:eastAsia="黑体" w:cs="黑体"/>
          <w:kern w:val="2"/>
          <w:sz w:val="32"/>
          <w:szCs w:val="32"/>
          <w:lang w:val="en-US" w:eastAsia="zh-CN" w:bidi="ar-SA"/>
        </w:rPr>
      </w:pPr>
    </w:p>
    <w:p>
      <w:pPr>
        <w:widowControl w:val="0"/>
        <w:numPr>
          <w:ilvl w:val="0"/>
          <w:numId w:val="0"/>
        </w:numPr>
        <w:jc w:val="both"/>
        <w:rPr>
          <w:rFonts w:hint="default" w:ascii="黑体" w:hAnsi="黑体" w:eastAsia="黑体" w:cs="黑体"/>
          <w:kern w:val="2"/>
          <w:sz w:val="32"/>
          <w:szCs w:val="32"/>
          <w:lang w:val="en-US" w:eastAsia="zh-CN" w:bidi="ar-SA"/>
        </w:rPr>
      </w:pPr>
    </w:p>
    <w:bookmarkEnd w:id="0"/>
    <w:p>
      <w:pPr>
        <w:bidi w:val="0"/>
        <w:ind w:firstLine="459" w:firstLineChars="0"/>
        <w:jc w:val="center"/>
        <w:rPr>
          <w:rFonts w:hint="default"/>
          <w:sz w:val="22"/>
          <w:szCs w:val="28"/>
          <w:lang w:val="en-US" w:eastAsia="zh-CN"/>
        </w:rPr>
      </w:pPr>
      <w:r>
        <w:rPr>
          <w:rFonts w:hint="eastAsia" w:cstheme="minorBidi"/>
          <w:kern w:val="2"/>
          <w:sz w:val="21"/>
          <w:szCs w:val="24"/>
          <w:lang w:val="en-US" w:eastAsia="zh-CN" w:bidi="ar-SA"/>
        </w:rPr>
        <w:tab/>
      </w:r>
    </w:p>
    <w:p>
      <w:pPr>
        <w:tabs>
          <w:tab w:val="left" w:pos="909"/>
        </w:tabs>
        <w:bidi w:val="0"/>
        <w:rPr>
          <w:rFonts w:hint="default" w:asciiTheme="minorHAnsi" w:hAnsiTheme="minorHAnsi" w:eastAsiaTheme="minorEastAsia" w:cstheme="minorBidi"/>
          <w:kern w:val="2"/>
          <w:sz w:val="21"/>
          <w:szCs w:val="24"/>
          <w:lang w:val="en-US" w:eastAsia="zh-CN" w:bidi="ar-SA"/>
        </w:rPr>
      </w:pPr>
    </w:p>
    <w:p>
      <w:pPr>
        <w:bidi w:val="0"/>
        <w:rPr>
          <w:rFonts w:hint="default" w:ascii="Arial" w:hAnsi="Arial" w:cs="Arial"/>
          <w:b/>
          <w:bCs/>
          <w:sz w:val="40"/>
          <w:szCs w:val="48"/>
          <w:lang w:val="en-US" w:eastAsia="zh-CN"/>
        </w:rPr>
      </w:pPr>
      <w:r>
        <w:rPr>
          <w:rFonts w:hint="eastAsia"/>
          <w:lang w:val="en-US" w:eastAsia="zh-CN"/>
        </w:rPr>
        <w:t xml:space="preserve">                                      </w:t>
      </w:r>
    </w:p>
    <w:p>
      <w:pPr>
        <w:bidi w:val="0"/>
        <w:rPr>
          <w:rFonts w:hint="eastAsia" w:ascii="Arial" w:hAnsi="Arial" w:cs="Arial"/>
          <w:sz w:val="32"/>
          <w:szCs w:val="40"/>
          <w:lang w:val="en-US" w:eastAsia="zh-CN"/>
        </w:rPr>
      </w:pPr>
      <w:r>
        <w:rPr>
          <w:rFonts w:hint="eastAsia" w:ascii="Arial" w:hAnsi="Arial" w:cs="Arial"/>
          <w:sz w:val="32"/>
          <w:szCs w:val="40"/>
          <w:lang w:val="en-US" w:eastAsia="zh-CN"/>
        </w:rPr>
        <w:t xml:space="preserve">      </w:t>
      </w:r>
    </w:p>
    <w:p>
      <w:pPr>
        <w:tabs>
          <w:tab w:val="left" w:pos="1753"/>
        </w:tabs>
        <w:bidi w:val="0"/>
        <w:jc w:val="left"/>
        <w:rPr>
          <w:rFonts w:hint="default" w:asciiTheme="minorHAnsi" w:hAnsiTheme="minorHAnsi" w:eastAsiaTheme="minorEastAsia" w:cstheme="minorBidi"/>
          <w:kern w:val="2"/>
          <w:sz w:val="21"/>
          <w:szCs w:val="24"/>
          <w:lang w:val="en-US" w:eastAsia="zh-CN" w:bidi="ar-SA"/>
        </w:rPr>
      </w:pPr>
    </w:p>
    <w:p>
      <w:pPr>
        <w:bidi w:val="0"/>
        <w:rPr>
          <w:rFonts w:hint="default" w:ascii="Arial" w:hAnsi="Arial" w:cs="Arial"/>
          <w:b/>
          <w:bCs/>
          <w:sz w:val="40"/>
          <w:szCs w:val="48"/>
          <w:lang w:val="en-US" w:eastAsia="zh-CN"/>
        </w:rPr>
      </w:pPr>
      <w:r>
        <w:rPr>
          <w:rFonts w:hint="eastAsia" w:cstheme="minorBidi"/>
          <w:kern w:val="2"/>
          <w:sz w:val="21"/>
          <w:szCs w:val="24"/>
          <w:lang w:val="en-US" w:eastAsia="zh-CN" w:bidi="ar-SA"/>
        </w:rPr>
        <w:t xml:space="preserve">                                  </w:t>
      </w:r>
      <w:bookmarkStart w:id="6" w:name="OLE_LINK4"/>
      <w:bookmarkStart w:id="7" w:name="OLE_LINK3"/>
    </w:p>
    <w:bookmarkEnd w:id="6"/>
    <w:bookmarkEnd w:id="7"/>
    <w:p>
      <w:pPr>
        <w:bidi w:val="0"/>
        <w:rPr>
          <w:rFonts w:hint="default" w:asciiTheme="minorHAnsi" w:hAnsiTheme="minorHAnsi" w:eastAsiaTheme="minorEastAsia" w:cstheme="minorBidi"/>
          <w:kern w:val="2"/>
          <w:sz w:val="21"/>
          <w:szCs w:val="24"/>
          <w:lang w:val="en-US" w:eastAsia="zh-CN" w:bidi="ar-SA"/>
        </w:rPr>
      </w:pPr>
    </w:p>
    <w:p>
      <w:pPr>
        <w:tabs>
          <w:tab w:val="left" w:pos="1753"/>
        </w:tabs>
        <w:bidi w:val="0"/>
        <w:jc w:val="left"/>
        <w:rPr>
          <w:rFonts w:hint="eastAsia" w:cstheme="minorBidi"/>
          <w:kern w:val="2"/>
          <w:sz w:val="22"/>
          <w:szCs w:val="28"/>
          <w:lang w:val="en-US" w:eastAsia="zh-CN" w:bidi="ar-SA"/>
        </w:rPr>
      </w:pPr>
      <w:r>
        <w:rPr>
          <w:rFonts w:hint="eastAsia" w:cstheme="minorBidi"/>
          <w:kern w:val="2"/>
          <w:sz w:val="22"/>
          <w:szCs w:val="28"/>
          <w:lang w:val="en-US" w:eastAsia="zh-CN" w:bidi="ar-SA"/>
        </w:rPr>
        <w:t xml:space="preserve">    </w:t>
      </w:r>
    </w:p>
    <w:p>
      <w:pPr>
        <w:bidi w:val="0"/>
        <w:rPr>
          <w:rFonts w:hint="default" w:ascii="Arial" w:hAnsi="Arial" w:cs="Arial"/>
          <w:b/>
          <w:bCs/>
          <w:sz w:val="40"/>
          <w:szCs w:val="48"/>
          <w:lang w:val="en-US" w:eastAsia="zh-CN"/>
        </w:rPr>
      </w:pPr>
      <w:r>
        <w:rPr>
          <w:rFonts w:hint="eastAsia" w:cstheme="minorBidi"/>
          <w:kern w:val="2"/>
          <w:sz w:val="22"/>
          <w:szCs w:val="28"/>
          <w:lang w:val="en-US" w:eastAsia="zh-CN" w:bidi="ar-SA"/>
        </w:rPr>
        <w:t xml:space="preserve">                                  </w:t>
      </w:r>
      <w:bookmarkStart w:id="8" w:name="OLE_LINK7"/>
    </w:p>
    <w:bookmarkEnd w:id="8"/>
    <w:p>
      <w:pPr>
        <w:tabs>
          <w:tab w:val="left" w:pos="1753"/>
        </w:tabs>
        <w:bidi w:val="0"/>
        <w:jc w:val="left"/>
        <w:rPr>
          <w:rFonts w:hint="default" w:cstheme="minorBidi"/>
          <w:kern w:val="2"/>
          <w:sz w:val="22"/>
          <w:szCs w:val="28"/>
          <w:lang w:val="en-US" w:eastAsia="zh-CN" w:bidi="ar-SA"/>
        </w:rPr>
      </w:pPr>
    </w:p>
    <w:p>
      <w:pPr>
        <w:bidi w:val="0"/>
        <w:rPr>
          <w:rFonts w:hint="default" w:ascii="Arial" w:hAnsi="Arial" w:cs="Arial"/>
          <w:b/>
          <w:bCs/>
          <w:sz w:val="40"/>
          <w:szCs w:val="48"/>
          <w:lang w:val="en-US" w:eastAsia="zh-CN"/>
        </w:rPr>
      </w:pPr>
      <w:r>
        <w:rPr>
          <w:rFonts w:hint="eastAsia" w:cstheme="minorBidi"/>
          <w:kern w:val="2"/>
          <w:sz w:val="22"/>
          <w:szCs w:val="28"/>
          <w:lang w:val="en-US" w:eastAsia="zh-CN" w:bidi="ar-SA"/>
        </w:rPr>
        <w:t xml:space="preserve">                                     </w:t>
      </w:r>
    </w:p>
    <w:p>
      <w:pPr>
        <w:bidi w:val="0"/>
        <w:rPr>
          <w:rFonts w:hint="default" w:cstheme="minorBidi"/>
          <w:kern w:val="2"/>
          <w:sz w:val="22"/>
          <w:szCs w:val="28"/>
          <w:lang w:val="en-US" w:eastAsia="zh-CN" w:bidi="ar-SA"/>
        </w:rPr>
      </w:pPr>
    </w:p>
    <w:p>
      <w:pPr>
        <w:bidi w:val="0"/>
        <w:rPr>
          <w:rFonts w:hint="default" w:cstheme="minorBidi"/>
          <w:kern w:val="2"/>
          <w:sz w:val="22"/>
          <w:szCs w:val="28"/>
          <w:lang w:val="en-US" w:eastAsia="zh-CN" w:bidi="ar-SA"/>
        </w:rPr>
      </w:pPr>
    </w:p>
    <w:p>
      <w:pPr>
        <w:tabs>
          <w:tab w:val="left" w:pos="459"/>
        </w:tabs>
        <w:bidi w:val="0"/>
        <w:jc w:val="both"/>
        <w:rPr>
          <w:rFonts w:hint="default" w:asciiTheme="minorHAnsi" w:hAnsiTheme="minorHAnsi" w:eastAsiaTheme="minorEastAsia" w:cstheme="minorBidi"/>
          <w:kern w:val="2"/>
          <w:sz w:val="21"/>
          <w:szCs w:val="24"/>
          <w:lang w:val="en-US" w:eastAsia="zh-CN" w:bidi="ar-SA"/>
        </w:rPr>
      </w:pPr>
    </w:p>
    <w:p>
      <w:pPr>
        <w:tabs>
          <w:tab w:val="left" w:pos="459"/>
        </w:tabs>
        <w:bidi w:val="0"/>
        <w:jc w:val="both"/>
        <w:rPr>
          <w:rFonts w:hint="default" w:asciiTheme="minorHAnsi" w:hAnsiTheme="minorHAnsi" w:eastAsiaTheme="minorEastAsia" w:cstheme="minorBidi"/>
          <w:kern w:val="2"/>
          <w:sz w:val="21"/>
          <w:szCs w:val="24"/>
          <w:lang w:val="en-US" w:eastAsia="zh-CN" w:bidi="ar-SA"/>
        </w:rPr>
      </w:pPr>
    </w:p>
    <w:p>
      <w:pPr>
        <w:tabs>
          <w:tab w:val="left" w:pos="459"/>
        </w:tabs>
        <w:bidi w:val="0"/>
        <w:jc w:val="both"/>
        <w:rPr>
          <w:rFonts w:hint="default" w:asciiTheme="minorHAnsi" w:hAnsiTheme="minorHAnsi" w:eastAsiaTheme="minorEastAsia" w:cstheme="minorBidi"/>
          <w:kern w:val="2"/>
          <w:sz w:val="21"/>
          <w:szCs w:val="24"/>
          <w:lang w:val="en-US" w:eastAsia="zh-CN" w:bidi="ar-SA"/>
        </w:rPr>
      </w:pP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CC"/>
    <w:family w:val="roman"/>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黑体_GBK">
    <w:panose1 w:val="02000000000000000000"/>
    <w:charset w:val="86"/>
    <w:family w:val="auto"/>
    <w:pitch w:val="default"/>
    <w:sig w:usb0="00000001" w:usb1="08000000" w:usb2="00000000" w:usb3="00000000" w:csb0="00040000" w:csb1="00000000"/>
  </w:font>
  <w:font w:name="Standard Symbols PS">
    <w:panose1 w:val="05050102010706020507"/>
    <w:charset w:val="00"/>
    <w:family w:val="auto"/>
    <w:pitch w:val="default"/>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F68A3B1"/>
    <w:multiLevelType w:val="singleLevel"/>
    <w:tmpl w:val="6F68A3B1"/>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Y5OWJhZWQ1M2IxNDc1NWQ0ZDJhMWI1NDYyYjZjY2YifQ=="/>
  </w:docVars>
  <w:rsids>
    <w:rsidRoot w:val="49A157F6"/>
    <w:rsid w:val="166770B1"/>
    <w:rsid w:val="389D4CE5"/>
    <w:rsid w:val="3A4D6EBA"/>
    <w:rsid w:val="49A157F6"/>
    <w:rsid w:val="72B868C0"/>
    <w:rsid w:val="762355EE"/>
    <w:rsid w:val="CDFC7B6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false"/>
        </a:gradFill>
        <a:gradFill>
          <a:gsLst>
            <a:gs pos="0">
              <a:schemeClr val="phClr">
                <a:hueOff val="-2520000"/>
              </a:schemeClr>
            </a:gs>
            <a:gs pos="100000">
              <a:schemeClr val="phClr"/>
            </a:gs>
          </a:gsLst>
          <a:lin ang="2700000" scaled="false"/>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true"/>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1303</Words>
  <Characters>1331</Characters>
  <Lines>0</Lines>
  <Paragraphs>0</Paragraphs>
  <TotalTime>5</TotalTime>
  <ScaleCrop>false</ScaleCrop>
  <LinksUpToDate>false</LinksUpToDate>
  <CharactersWithSpaces>1508</CharactersWithSpaces>
  <Application>WPS Office_11.8.2.10489_F1E327BC-269C-435d-A152-05C5408002CA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2025-05-13T08:16:00Z</dcterms:created>
  <dc:creator>Ke Victory</dc:creator>
  <cp:lastModifiedBy>greatwall</cp:lastModifiedBy>
  <dcterms:modified xsi:type="dcterms:W3CDTF">2025-05-14T09:45:43Z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2052-11.8.2.10489</vt:lpwstr>
  </property>
  <property fmtid="{D5CDD505-2E9C-101B-9397-08002B2CF9AE}" pid="3" name="ICV">
    <vt:lpwstr>41F2A3BA61884133B425DD086BF7EDB2_11</vt:lpwstr>
  </property>
  <property fmtid="{D5CDD505-2E9C-101B-9397-08002B2CF9AE}" pid="4" name="KSOTemplateDocerSaveRecord">
    <vt:lpwstr>eyJoZGlkIjoiYjQ5YjQ2ODRiMzc5ODIxMmY1YjUxY2U0NGY5YmVlMTciLCJ1c2VySWQiOiIyMzQ3ODE1NTYifQ==</vt:lpwstr>
  </property>
</Properties>
</file>