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spacing w:line="580" w:lineRule="exact"/>
      </w:pPr>
      <w:bookmarkStart w:id="0" w:name="_Toc3027"/>
      <w:bookmarkStart w:id="1" w:name="_Toc10725"/>
      <w:r>
        <w:rPr>
          <w:rFonts w:hint="eastAsia"/>
        </w:rPr>
        <w:t>城市管理局行政职权目录</w:t>
      </w:r>
      <w:bookmarkEnd w:id="0"/>
      <w:bookmarkEnd w:id="1"/>
    </w:p>
    <w:p>
      <w:pPr>
        <w:spacing w:line="580" w:lineRule="exact"/>
        <w:jc w:val="center"/>
      </w:pPr>
      <w:r>
        <w:rPr>
          <w:rFonts w:hint="eastAsia"/>
        </w:rPr>
        <w:t>（共</w:t>
      </w:r>
      <w:r>
        <w:rPr>
          <w:rFonts w:hint="eastAsia"/>
          <w:lang w:val="en-US" w:eastAsia="zh-CN"/>
        </w:rPr>
        <w:t>59</w:t>
      </w:r>
      <w:bookmarkStart w:id="11" w:name="_GoBack"/>
      <w:bookmarkEnd w:id="11"/>
      <w:r>
        <w:rPr>
          <w:rFonts w:hint="eastAsia"/>
        </w:rPr>
        <w:t>项）</w:t>
      </w:r>
    </w:p>
    <w:p>
      <w:pPr>
        <w:pStyle w:val="3"/>
        <w:spacing w:line="580" w:lineRule="exact"/>
      </w:pPr>
      <w:bookmarkStart w:id="2" w:name="_Toc22706"/>
      <w:r>
        <w:rPr>
          <w:rFonts w:hint="eastAsia"/>
        </w:rPr>
        <w:t>一、行政许可（共</w:t>
      </w:r>
      <w:r>
        <w:t>12</w:t>
      </w:r>
      <w:r>
        <w:rPr>
          <w:rFonts w:hint="eastAsia"/>
        </w:rPr>
        <w:t>项）</w:t>
      </w:r>
      <w:bookmarkEnd w:id="2"/>
    </w:p>
    <w:p>
      <w:pPr>
        <w:numPr>
          <w:ilvl w:val="0"/>
          <w:numId w:val="1"/>
        </w:numPr>
        <w:spacing w:line="580" w:lineRule="exact"/>
      </w:pPr>
      <w:r>
        <w:rPr>
          <w:rFonts w:hint="eastAsia"/>
        </w:rPr>
        <w:t>张挂、张贴宣传品审批</w:t>
      </w:r>
    </w:p>
    <w:p>
      <w:pPr>
        <w:numPr>
          <w:ilvl w:val="0"/>
          <w:numId w:val="1"/>
        </w:numPr>
        <w:spacing w:line="580" w:lineRule="exact"/>
      </w:pPr>
      <w:r>
        <w:rPr>
          <w:rFonts w:hint="eastAsia"/>
        </w:rPr>
        <w:t>因建设等特殊需要，在街道两侧和公共场地临时堆放物料，搭建非永久性建筑物、构筑物或者其他设施许可</w:t>
      </w:r>
    </w:p>
    <w:p>
      <w:pPr>
        <w:numPr>
          <w:ilvl w:val="0"/>
          <w:numId w:val="1"/>
        </w:numPr>
        <w:spacing w:line="580" w:lineRule="exact"/>
      </w:pPr>
      <w:r>
        <w:rPr>
          <w:rFonts w:hint="eastAsia"/>
        </w:rPr>
        <w:t>环卫设施拆除审批</w:t>
      </w:r>
    </w:p>
    <w:p>
      <w:pPr>
        <w:numPr>
          <w:ilvl w:val="0"/>
          <w:numId w:val="1"/>
        </w:numPr>
        <w:spacing w:line="580" w:lineRule="exact"/>
      </w:pPr>
      <w:r>
        <w:rPr>
          <w:rFonts w:hint="eastAsia"/>
        </w:rPr>
        <w:t>燃气经营许可证核发</w:t>
      </w:r>
    </w:p>
    <w:p>
      <w:pPr>
        <w:numPr>
          <w:ilvl w:val="0"/>
          <w:numId w:val="2"/>
        </w:numPr>
        <w:spacing w:line="580" w:lineRule="exact"/>
      </w:pPr>
      <w:r>
        <w:rPr>
          <w:rFonts w:hint="eastAsia"/>
        </w:rPr>
        <w:t>城镇燃气经营许可</w:t>
      </w:r>
    </w:p>
    <w:p>
      <w:pPr>
        <w:numPr>
          <w:ilvl w:val="0"/>
          <w:numId w:val="2"/>
        </w:numPr>
        <w:spacing w:line="580" w:lineRule="exact"/>
      </w:pPr>
      <w:r>
        <w:rPr>
          <w:rFonts w:hint="eastAsia"/>
        </w:rPr>
        <w:t>瓶装燃气供应站经营许可</w:t>
      </w:r>
    </w:p>
    <w:p>
      <w:pPr>
        <w:numPr>
          <w:ilvl w:val="0"/>
          <w:numId w:val="1"/>
        </w:numPr>
        <w:spacing w:line="580" w:lineRule="exact"/>
      </w:pPr>
      <w:r>
        <w:rPr>
          <w:rFonts w:hint="eastAsia"/>
        </w:rPr>
        <w:t>燃气设施改动审批</w:t>
      </w:r>
    </w:p>
    <w:p>
      <w:pPr>
        <w:numPr>
          <w:ilvl w:val="0"/>
          <w:numId w:val="1"/>
        </w:numPr>
        <w:spacing w:line="580" w:lineRule="exact"/>
      </w:pPr>
      <w:r>
        <w:rPr>
          <w:rFonts w:hint="eastAsia"/>
        </w:rPr>
        <w:t>城镇污水排入排水管网许可</w:t>
      </w:r>
    </w:p>
    <w:p>
      <w:pPr>
        <w:numPr>
          <w:ilvl w:val="0"/>
          <w:numId w:val="1"/>
        </w:numPr>
        <w:spacing w:line="580" w:lineRule="exact"/>
      </w:pPr>
      <w:r>
        <w:rPr>
          <w:rFonts w:hint="eastAsia"/>
        </w:rPr>
        <w:t>城市建筑垃圾处置核准</w:t>
      </w:r>
    </w:p>
    <w:p>
      <w:pPr>
        <w:numPr>
          <w:ilvl w:val="0"/>
          <w:numId w:val="3"/>
        </w:numPr>
        <w:spacing w:line="580" w:lineRule="exact"/>
      </w:pPr>
      <w:r>
        <w:rPr>
          <w:rFonts w:hint="eastAsia"/>
        </w:rPr>
        <w:t>建筑垃圾清运许可</w:t>
      </w:r>
    </w:p>
    <w:p>
      <w:pPr>
        <w:numPr>
          <w:ilvl w:val="0"/>
          <w:numId w:val="3"/>
        </w:numPr>
        <w:spacing w:line="580" w:lineRule="exact"/>
      </w:pPr>
      <w:r>
        <w:rPr>
          <w:rFonts w:hint="eastAsia"/>
        </w:rPr>
        <w:t>建筑垃圾消纳利用许可</w:t>
      </w:r>
    </w:p>
    <w:p>
      <w:pPr>
        <w:numPr>
          <w:ilvl w:val="0"/>
          <w:numId w:val="3"/>
        </w:numPr>
        <w:spacing w:line="580" w:lineRule="exact"/>
      </w:pPr>
      <w:r>
        <w:rPr>
          <w:rFonts w:hint="eastAsia"/>
        </w:rPr>
        <w:t>建筑垃圾排放许可</w:t>
      </w:r>
    </w:p>
    <w:p>
      <w:pPr>
        <w:numPr>
          <w:ilvl w:val="0"/>
          <w:numId w:val="1"/>
        </w:numPr>
        <w:spacing w:line="580" w:lineRule="exact"/>
      </w:pPr>
      <w:r>
        <w:rPr>
          <w:rFonts w:hint="eastAsia"/>
        </w:rPr>
        <w:t>从事生活垃圾（含粪便）经营性清扫、收集、运输、处理服务审批</w:t>
      </w:r>
    </w:p>
    <w:p>
      <w:pPr>
        <w:numPr>
          <w:ilvl w:val="0"/>
          <w:numId w:val="4"/>
        </w:numPr>
        <w:spacing w:line="580" w:lineRule="exact"/>
      </w:pPr>
      <w:r>
        <w:rPr>
          <w:rFonts w:hint="eastAsia"/>
        </w:rPr>
        <w:t>城市生活垃圾经营性处理服务许可</w:t>
      </w:r>
    </w:p>
    <w:p>
      <w:pPr>
        <w:numPr>
          <w:ilvl w:val="0"/>
          <w:numId w:val="4"/>
        </w:numPr>
        <w:spacing w:line="580" w:lineRule="exact"/>
      </w:pPr>
      <w:r>
        <w:rPr>
          <w:rFonts w:hint="eastAsia"/>
        </w:rPr>
        <w:t>城市生活垃圾经营性清扫、收集、运输服务许可</w:t>
      </w:r>
    </w:p>
    <w:p>
      <w:pPr>
        <w:numPr>
          <w:ilvl w:val="0"/>
          <w:numId w:val="1"/>
        </w:numPr>
        <w:spacing w:line="580" w:lineRule="exact"/>
      </w:pPr>
      <w:r>
        <w:rPr>
          <w:rFonts w:hint="eastAsia"/>
        </w:rPr>
        <w:t>因建设或特殊原因，临时占用城市绿地审批</w:t>
      </w:r>
    </w:p>
    <w:p>
      <w:pPr>
        <w:numPr>
          <w:ilvl w:val="0"/>
          <w:numId w:val="1"/>
        </w:numPr>
        <w:spacing w:line="580" w:lineRule="exact"/>
      </w:pPr>
      <w:r>
        <w:rPr>
          <w:rFonts w:hint="eastAsia"/>
        </w:rPr>
        <w:t>砍伐城市树木审批</w:t>
      </w:r>
    </w:p>
    <w:p>
      <w:pPr>
        <w:numPr>
          <w:ilvl w:val="0"/>
          <w:numId w:val="1"/>
        </w:numPr>
        <w:spacing w:line="580" w:lineRule="exact"/>
      </w:pPr>
      <w:r>
        <w:rPr>
          <w:rFonts w:hint="eastAsia"/>
        </w:rPr>
        <w:t>改装、拆除、迁移城市供水设施许可</w:t>
      </w:r>
    </w:p>
    <w:p>
      <w:pPr>
        <w:numPr>
          <w:ilvl w:val="0"/>
          <w:numId w:val="1"/>
        </w:numPr>
        <w:spacing w:line="580" w:lineRule="exact"/>
      </w:pPr>
      <w:r>
        <w:rPr>
          <w:rFonts w:hint="eastAsia"/>
        </w:rPr>
        <w:t>市政设施建设类审批</w:t>
      </w:r>
    </w:p>
    <w:p>
      <w:pPr>
        <w:numPr>
          <w:ilvl w:val="0"/>
          <w:numId w:val="5"/>
        </w:numPr>
        <w:spacing w:line="580" w:lineRule="exact"/>
      </w:pPr>
      <w:r>
        <w:rPr>
          <w:rFonts w:hint="eastAsia"/>
        </w:rPr>
        <w:t>依附城市道路、桥梁建设各种管线、杆线等设施许可</w:t>
      </w:r>
    </w:p>
    <w:p>
      <w:pPr>
        <w:numPr>
          <w:ilvl w:val="0"/>
          <w:numId w:val="5"/>
        </w:numPr>
        <w:spacing w:line="580" w:lineRule="exact"/>
      </w:pPr>
      <w:r>
        <w:rPr>
          <w:rFonts w:hint="eastAsia"/>
        </w:rPr>
        <w:t>临时占用城市道路许可</w:t>
      </w:r>
    </w:p>
    <w:p>
      <w:pPr>
        <w:numPr>
          <w:ilvl w:val="0"/>
          <w:numId w:val="5"/>
        </w:numPr>
        <w:spacing w:line="580" w:lineRule="exact"/>
      </w:pPr>
      <w:r>
        <w:rPr>
          <w:rFonts w:hint="eastAsia"/>
        </w:rPr>
        <w:t>挖掘城市道路许可</w:t>
      </w:r>
    </w:p>
    <w:p>
      <w:pPr>
        <w:pStyle w:val="3"/>
        <w:spacing w:line="580" w:lineRule="exact"/>
      </w:pPr>
      <w:r>
        <w:rPr>
          <w:rFonts w:hint="eastAsia"/>
        </w:rPr>
        <w:t>二、行政处罚（共</w:t>
      </w:r>
      <w:r>
        <w:t>4</w:t>
      </w:r>
      <w:r>
        <w:rPr>
          <w:rFonts w:hint="eastAsia"/>
          <w:lang w:val="en-US" w:eastAsia="zh-CN"/>
        </w:rPr>
        <w:t>3</w:t>
      </w:r>
      <w:r>
        <w:rPr>
          <w:rFonts w:hint="eastAsia"/>
        </w:rPr>
        <w:t>项）</w:t>
      </w:r>
    </w:p>
    <w:p>
      <w:pPr>
        <w:numPr>
          <w:ilvl w:val="0"/>
          <w:numId w:val="6"/>
        </w:numPr>
        <w:spacing w:line="580" w:lineRule="exact"/>
      </w:pPr>
      <w:r>
        <w:rPr>
          <w:rFonts w:hint="eastAsia"/>
        </w:rPr>
        <w:t>对在城市绿地范围内进行拦河截溪、取土采石、设置垃圾堆场、排放污水以及其他对城市生态环境造成破坏活动的行政处罚</w:t>
      </w:r>
    </w:p>
    <w:p>
      <w:pPr>
        <w:numPr>
          <w:ilvl w:val="0"/>
          <w:numId w:val="6"/>
        </w:numPr>
        <w:spacing w:line="580" w:lineRule="exact"/>
      </w:pPr>
      <w:r>
        <w:rPr>
          <w:rFonts w:hint="eastAsia"/>
        </w:rPr>
        <w:t>对燃气经营企业分立、合并、中止经营,或者燃气经营许可证载明的内容发生变更,燃气经营企业未在规定期限内报原审批机关申请办理相关手续的行政处罚</w:t>
      </w:r>
    </w:p>
    <w:p>
      <w:pPr>
        <w:numPr>
          <w:ilvl w:val="0"/>
          <w:numId w:val="6"/>
        </w:numPr>
        <w:spacing w:line="580" w:lineRule="exact"/>
      </w:pPr>
      <w:r>
        <w:rPr>
          <w:rFonts w:hint="eastAsia"/>
        </w:rPr>
        <w:t>对瓶装燃气经营企业超过检验期限、检验不合格或者报废、改装的气瓶进行灌装和用贮罐、槽车直接向气瓶充装燃气或者用气瓶相互倒灌燃气和在不符合安全条件的场地存放已充装气瓶的行政处罚</w:t>
      </w:r>
    </w:p>
    <w:p>
      <w:pPr>
        <w:numPr>
          <w:ilvl w:val="0"/>
          <w:numId w:val="6"/>
        </w:numPr>
        <w:spacing w:line="580" w:lineRule="exact"/>
      </w:pPr>
      <w:r>
        <w:rPr>
          <w:rFonts w:hint="eastAsia"/>
        </w:rPr>
        <w:t>对向未经使用登记、与使用登记证不一致的车用气瓶加气或者向车用气瓶以外的其他气瓶或者装置加气的行政处罚</w:t>
      </w:r>
    </w:p>
    <w:p>
      <w:pPr>
        <w:numPr>
          <w:ilvl w:val="0"/>
          <w:numId w:val="6"/>
        </w:numPr>
        <w:spacing w:line="580" w:lineRule="exact"/>
      </w:pPr>
      <w:r>
        <w:rPr>
          <w:rFonts w:hint="eastAsia"/>
        </w:rPr>
        <w:t>对燃气燃烧器具安装维修企业安装不符合国家标准或者与气源不适配的燃气燃烧器具,或者维修达到报废年限的燃气燃烧器具的行政处罚</w:t>
      </w:r>
    </w:p>
    <w:p>
      <w:pPr>
        <w:numPr>
          <w:ilvl w:val="0"/>
          <w:numId w:val="6"/>
        </w:numPr>
        <w:spacing w:line="580" w:lineRule="exact"/>
      </w:pPr>
      <w:r>
        <w:rPr>
          <w:rFonts w:hint="eastAsia"/>
        </w:rPr>
        <w:t>在市政设施管理范围内，对未经批准，进行下列行为的行政处罚：</w:t>
      </w:r>
    </w:p>
    <w:p>
      <w:pPr>
        <w:numPr>
          <w:ilvl w:val="0"/>
          <w:numId w:val="7"/>
        </w:numPr>
        <w:spacing w:line="580" w:lineRule="exact"/>
      </w:pPr>
      <w:r>
        <w:rPr>
          <w:rFonts w:hint="eastAsia"/>
        </w:rPr>
        <w:t>因特殊原因确需临时占用、挖掘、改动、迁移市政设施的；</w:t>
      </w:r>
    </w:p>
    <w:p>
      <w:pPr>
        <w:numPr>
          <w:ilvl w:val="0"/>
          <w:numId w:val="7"/>
        </w:numPr>
        <w:spacing w:line="580" w:lineRule="exact"/>
      </w:pPr>
      <w:r>
        <w:rPr>
          <w:rFonts w:hint="eastAsia"/>
        </w:rPr>
        <w:t>新建、改(扩)建各种管线、杆(塔)线、地面设备、建(构)筑物等；</w:t>
      </w:r>
    </w:p>
    <w:p>
      <w:pPr>
        <w:numPr>
          <w:ilvl w:val="0"/>
          <w:numId w:val="7"/>
        </w:numPr>
        <w:spacing w:line="580" w:lineRule="exact"/>
      </w:pPr>
      <w:r>
        <w:rPr>
          <w:rFonts w:hint="eastAsia"/>
        </w:rPr>
        <w:t>利用道路、桥涵、杆塔等设施设置标语、广告、悬浮物、安装线路和设备等；</w:t>
      </w:r>
    </w:p>
    <w:p>
      <w:pPr>
        <w:numPr>
          <w:ilvl w:val="0"/>
          <w:numId w:val="7"/>
        </w:numPr>
        <w:spacing w:line="580" w:lineRule="exact"/>
      </w:pPr>
      <w:r>
        <w:rPr>
          <w:rFonts w:hint="eastAsia"/>
        </w:rPr>
        <w:t>向城市排水管道加压排放污废水的。</w:t>
      </w:r>
    </w:p>
    <w:p>
      <w:pPr>
        <w:numPr>
          <w:ilvl w:val="0"/>
          <w:numId w:val="6"/>
        </w:numPr>
        <w:spacing w:line="580" w:lineRule="exact"/>
      </w:pPr>
      <w:r>
        <w:rPr>
          <w:rFonts w:hint="eastAsia"/>
        </w:rPr>
        <w:t>对未取得设计、施工资格或者未按照资质等级承担城市道路的设计、施工任务的和未按照城市道路设计、施工技术规范设计、施工的以及未按照设计图纸施工或者擅自修改图纸的行政处罚</w:t>
      </w:r>
    </w:p>
    <w:p>
      <w:pPr>
        <w:numPr>
          <w:ilvl w:val="0"/>
          <w:numId w:val="6"/>
        </w:numPr>
        <w:spacing w:line="580" w:lineRule="exact"/>
      </w:pPr>
      <w:r>
        <w:rPr>
          <w:rFonts w:hint="eastAsia"/>
        </w:rPr>
        <w:t>对擅自使用未经验收或者验收不合格的城市道路的行政处罚</w:t>
      </w:r>
    </w:p>
    <w:p>
      <w:pPr>
        <w:numPr>
          <w:ilvl w:val="0"/>
          <w:numId w:val="6"/>
        </w:numPr>
        <w:spacing w:line="580" w:lineRule="exact"/>
      </w:pPr>
      <w:r>
        <w:rPr>
          <w:rFonts w:hint="eastAsia"/>
        </w:rPr>
        <w:t>对承担城市道路养护、维修的单位的行政处罚</w:t>
      </w:r>
    </w:p>
    <w:p>
      <w:pPr>
        <w:numPr>
          <w:ilvl w:val="0"/>
          <w:numId w:val="6"/>
        </w:numPr>
        <w:spacing w:line="580" w:lineRule="exact"/>
      </w:pPr>
      <w:r>
        <w:rPr>
          <w:rFonts w:hint="eastAsia"/>
        </w:rPr>
        <w:t>对在城市道路范围内进行下列行为的行政处罚：</w:t>
      </w:r>
    </w:p>
    <w:p>
      <w:pPr>
        <w:numPr>
          <w:ilvl w:val="0"/>
          <w:numId w:val="8"/>
        </w:numPr>
        <w:spacing w:line="580" w:lineRule="exact"/>
      </w:pPr>
      <w:r>
        <w:rPr>
          <w:rFonts w:hint="eastAsia"/>
        </w:rPr>
        <w:t>擅自占用或者挖掘城市道路；</w:t>
      </w:r>
    </w:p>
    <w:p>
      <w:pPr>
        <w:numPr>
          <w:ilvl w:val="0"/>
          <w:numId w:val="8"/>
        </w:numPr>
        <w:spacing w:line="580" w:lineRule="exact"/>
      </w:pPr>
      <w:r>
        <w:rPr>
          <w:rFonts w:hint="eastAsia"/>
        </w:rPr>
        <w:t>履带车、铁轮车或者超重、超高、超长车辆擅自在城市道路上行驶；</w:t>
      </w:r>
    </w:p>
    <w:p>
      <w:pPr>
        <w:numPr>
          <w:ilvl w:val="0"/>
          <w:numId w:val="8"/>
        </w:numPr>
        <w:spacing w:line="580" w:lineRule="exact"/>
      </w:pPr>
      <w:r>
        <w:rPr>
          <w:rFonts w:hint="eastAsia"/>
        </w:rPr>
        <w:t>机动车在桥梁或者非指定的城市道路上试刹车；</w:t>
      </w:r>
    </w:p>
    <w:p>
      <w:pPr>
        <w:numPr>
          <w:ilvl w:val="0"/>
          <w:numId w:val="8"/>
        </w:numPr>
        <w:spacing w:line="580" w:lineRule="exact"/>
      </w:pPr>
      <w:r>
        <w:rPr>
          <w:rFonts w:hint="eastAsia"/>
        </w:rPr>
        <w:t>擅自在城市道路上建设建筑物、构筑物；</w:t>
      </w:r>
    </w:p>
    <w:p>
      <w:pPr>
        <w:numPr>
          <w:ilvl w:val="0"/>
          <w:numId w:val="8"/>
        </w:numPr>
        <w:spacing w:line="580" w:lineRule="exact"/>
      </w:pPr>
      <w:r>
        <w:rPr>
          <w:rFonts w:hint="eastAsia"/>
        </w:rPr>
        <w:t>在桥梁上架设压力在4公斤/平方厘米（4兆帕）以上的煤气管道、10千伏以上的高压电力线和其他易燃易爆管线；</w:t>
      </w:r>
    </w:p>
    <w:p>
      <w:pPr>
        <w:numPr>
          <w:ilvl w:val="0"/>
          <w:numId w:val="8"/>
        </w:numPr>
        <w:spacing w:line="580" w:lineRule="exact"/>
      </w:pPr>
      <w:r>
        <w:rPr>
          <w:rFonts w:hint="eastAsia"/>
        </w:rPr>
        <w:t>擅自在桥梁或者路灯设施上设置广告牌或者其他挂浮物；</w:t>
      </w:r>
    </w:p>
    <w:p>
      <w:pPr>
        <w:numPr>
          <w:ilvl w:val="0"/>
          <w:numId w:val="8"/>
        </w:numPr>
        <w:spacing w:line="580" w:lineRule="exact"/>
      </w:pPr>
      <w:r>
        <w:rPr>
          <w:rFonts w:hint="eastAsia"/>
        </w:rPr>
        <w:t>其他损害、侵占城市道路的行为。</w:t>
      </w:r>
    </w:p>
    <w:p>
      <w:pPr>
        <w:numPr>
          <w:ilvl w:val="0"/>
          <w:numId w:val="6"/>
        </w:numPr>
        <w:spacing w:line="580" w:lineRule="exact"/>
      </w:pPr>
      <w:r>
        <w:rPr>
          <w:rFonts w:hint="eastAsia"/>
        </w:rPr>
        <w:t>对未对设在城市道路上的各种管线的检查井、箱盖或者城市道路附属设施的缺损及时补缺或者修复的行政处罚</w:t>
      </w:r>
    </w:p>
    <w:p>
      <w:pPr>
        <w:numPr>
          <w:ilvl w:val="0"/>
          <w:numId w:val="6"/>
        </w:numPr>
        <w:spacing w:line="580" w:lineRule="exact"/>
      </w:pPr>
      <w:r>
        <w:rPr>
          <w:rFonts w:hint="eastAsia"/>
        </w:rPr>
        <w:t>对未在城市道路施工现场设置明显标志和安全防围设施的行政处罚</w:t>
      </w:r>
    </w:p>
    <w:p>
      <w:pPr>
        <w:numPr>
          <w:ilvl w:val="0"/>
          <w:numId w:val="6"/>
        </w:numPr>
        <w:spacing w:line="580" w:lineRule="exact"/>
      </w:pPr>
      <w:r>
        <w:rPr>
          <w:rFonts w:hint="eastAsia"/>
        </w:rPr>
        <w:t>对占用城市道路期满或者挖掘城市道路后，不及时清理现场的行政处罚</w:t>
      </w:r>
    </w:p>
    <w:p>
      <w:pPr>
        <w:numPr>
          <w:ilvl w:val="0"/>
          <w:numId w:val="6"/>
        </w:numPr>
        <w:spacing w:line="580" w:lineRule="exact"/>
      </w:pPr>
      <w:r>
        <w:rPr>
          <w:rFonts w:hint="eastAsia"/>
        </w:rPr>
        <w:t>对依附于城市道路建设各种管线、杆线等设施，不按照规定办理批准手续的行政处罚</w:t>
      </w:r>
    </w:p>
    <w:p>
      <w:pPr>
        <w:numPr>
          <w:ilvl w:val="0"/>
          <w:numId w:val="6"/>
        </w:numPr>
        <w:spacing w:line="580" w:lineRule="exact"/>
      </w:pPr>
      <w:r>
        <w:rPr>
          <w:rFonts w:hint="eastAsia"/>
        </w:rPr>
        <w:t>对紧急抢修埋设在城市道路下的管线，不按照规定补办批准手续的行政处罚</w:t>
      </w:r>
    </w:p>
    <w:p>
      <w:pPr>
        <w:numPr>
          <w:ilvl w:val="0"/>
          <w:numId w:val="6"/>
        </w:numPr>
        <w:spacing w:line="580" w:lineRule="exact"/>
      </w:pPr>
      <w:r>
        <w:rPr>
          <w:rFonts w:hint="eastAsia"/>
        </w:rPr>
        <w:t>对未按照批准的位置、面积、期限占用或者挖掘城市道路，或者需要移动位置、扩大面积、延长时间，未提前办理变更审批手续的行政处罚</w:t>
      </w:r>
    </w:p>
    <w:p>
      <w:pPr>
        <w:numPr>
          <w:ilvl w:val="0"/>
          <w:numId w:val="6"/>
        </w:numPr>
        <w:spacing w:line="580" w:lineRule="exact"/>
      </w:pPr>
      <w:r>
        <w:rPr>
          <w:rFonts w:hint="eastAsia"/>
        </w:rPr>
        <w:t>对下列违反《河南省&lt;城市市容和环境卫生管理条例&gt;实施办法》规定的行为的行政处罚：</w:t>
      </w:r>
    </w:p>
    <w:p>
      <w:pPr>
        <w:numPr>
          <w:ilvl w:val="0"/>
          <w:numId w:val="9"/>
        </w:numPr>
        <w:spacing w:line="580" w:lineRule="exact"/>
      </w:pPr>
      <w:r>
        <w:rPr>
          <w:rFonts w:hint="eastAsia"/>
        </w:rPr>
        <w:t>随地吐痰、便溺和乱泼污水,乱扔果皮(核)、纸屑、烟蒂、包装纸(袋、盒)、饮料罐(瓶、盒)、口香糖渣、废电池、动物尸体等废弃物的；</w:t>
      </w:r>
    </w:p>
    <w:p>
      <w:pPr>
        <w:numPr>
          <w:ilvl w:val="0"/>
          <w:numId w:val="9"/>
        </w:numPr>
        <w:spacing w:line="580" w:lineRule="exact"/>
      </w:pPr>
      <w:r>
        <w:rPr>
          <w:rFonts w:hint="eastAsia"/>
        </w:rPr>
        <w:t>在城市人民政府确定的主要街道临街建筑物的阳台和窗外堆放、吊挂有碍市容物品的；</w:t>
      </w:r>
    </w:p>
    <w:p>
      <w:pPr>
        <w:numPr>
          <w:ilvl w:val="0"/>
          <w:numId w:val="9"/>
        </w:numPr>
        <w:spacing w:line="580" w:lineRule="exact"/>
      </w:pPr>
      <w:r>
        <w:rPr>
          <w:rFonts w:hint="eastAsia"/>
        </w:rPr>
        <w:t>在城市建筑物、设施以及树木上涂写、刻画，或者未经批准张挂、张贴宣传品等的；</w:t>
      </w:r>
    </w:p>
    <w:p>
      <w:pPr>
        <w:numPr>
          <w:ilvl w:val="0"/>
          <w:numId w:val="9"/>
        </w:numPr>
        <w:spacing w:line="580" w:lineRule="exact"/>
      </w:pPr>
      <w:r>
        <w:rPr>
          <w:rFonts w:hint="eastAsia"/>
        </w:rPr>
        <w:t>不按城市环境卫生行政主管部门规定的时间、地点、方式倾倒垃圾、粪便,不足1吨的；</w:t>
      </w:r>
    </w:p>
    <w:p>
      <w:pPr>
        <w:numPr>
          <w:ilvl w:val="0"/>
          <w:numId w:val="9"/>
        </w:numPr>
        <w:spacing w:line="580" w:lineRule="exact"/>
      </w:pPr>
      <w:r>
        <w:rPr>
          <w:rFonts w:hint="eastAsia"/>
        </w:rPr>
        <w:t>不履行卫生责任区清扫保洁的,或冬季不履行除雪义务的；</w:t>
      </w:r>
    </w:p>
    <w:p>
      <w:pPr>
        <w:numPr>
          <w:ilvl w:val="0"/>
          <w:numId w:val="9"/>
        </w:numPr>
        <w:spacing w:line="580" w:lineRule="exact"/>
      </w:pPr>
      <w:r>
        <w:rPr>
          <w:rFonts w:hint="eastAsia"/>
        </w:rPr>
        <w:t>对运输液体、散装货物不作密封、包扎、覆盖造成泄露、遗撒的；</w:t>
      </w:r>
    </w:p>
    <w:p>
      <w:pPr>
        <w:numPr>
          <w:ilvl w:val="0"/>
          <w:numId w:val="9"/>
        </w:numPr>
        <w:spacing w:line="580" w:lineRule="exact"/>
      </w:pPr>
      <w:r>
        <w:rPr>
          <w:rFonts w:hint="eastAsia"/>
        </w:rPr>
        <w:t>临街工地不设置护栏或者不作遮挡,停工场地不及时整理并作必要覆盖或者竣工后不及时清理和平整场地,影响市容和环境卫生的；</w:t>
      </w:r>
    </w:p>
    <w:p>
      <w:pPr>
        <w:numPr>
          <w:ilvl w:val="0"/>
          <w:numId w:val="9"/>
        </w:numPr>
        <w:spacing w:line="580" w:lineRule="exact"/>
      </w:pPr>
      <w:r>
        <w:rPr>
          <w:rFonts w:hint="eastAsia"/>
        </w:rPr>
        <w:t>不按规定及时清运、处理粪便的；</w:t>
      </w:r>
    </w:p>
    <w:p>
      <w:pPr>
        <w:numPr>
          <w:ilvl w:val="0"/>
          <w:numId w:val="9"/>
        </w:numPr>
        <w:spacing w:line="580" w:lineRule="exact"/>
      </w:pPr>
      <w:r>
        <w:rPr>
          <w:rFonts w:hint="eastAsia"/>
        </w:rPr>
        <w:t>在城市道路或人行道上从事各类作业后,不清除杂物、渣土、污水淤泥的；</w:t>
      </w:r>
    </w:p>
    <w:p>
      <w:pPr>
        <w:numPr>
          <w:ilvl w:val="0"/>
          <w:numId w:val="9"/>
        </w:numPr>
        <w:spacing w:line="580" w:lineRule="exact"/>
      </w:pPr>
      <w:r>
        <w:rPr>
          <w:rFonts w:hint="eastAsia"/>
        </w:rPr>
        <w:t>在露天场所和垃圾收集容器内焚烧树枝(叶)、垃圾或者其他物品的；</w:t>
      </w:r>
    </w:p>
    <w:p>
      <w:pPr>
        <w:numPr>
          <w:ilvl w:val="0"/>
          <w:numId w:val="9"/>
        </w:numPr>
        <w:spacing w:line="580" w:lineRule="exact"/>
      </w:pPr>
      <w:r>
        <w:rPr>
          <w:rFonts w:hint="eastAsia"/>
        </w:rPr>
        <w:t>牲畜或者宠物的携带者对牲畜或者宠物的粪便不及时清除的；</w:t>
      </w:r>
    </w:p>
    <w:p>
      <w:pPr>
        <w:numPr>
          <w:ilvl w:val="0"/>
          <w:numId w:val="9"/>
        </w:numPr>
        <w:spacing w:line="580" w:lineRule="exact"/>
      </w:pPr>
      <w:r>
        <w:rPr>
          <w:rFonts w:hint="eastAsia"/>
        </w:rPr>
        <w:t>摊点的经营者随地丢弃垃圾的；</w:t>
      </w:r>
    </w:p>
    <w:p>
      <w:pPr>
        <w:numPr>
          <w:ilvl w:val="0"/>
          <w:numId w:val="9"/>
        </w:numPr>
        <w:spacing w:line="580" w:lineRule="exact"/>
      </w:pPr>
      <w:r>
        <w:rPr>
          <w:rFonts w:hint="eastAsia"/>
        </w:rPr>
        <w:t>将有害固体废弃物混入城市生活垃圾的；</w:t>
      </w:r>
    </w:p>
    <w:p>
      <w:pPr>
        <w:numPr>
          <w:ilvl w:val="0"/>
          <w:numId w:val="9"/>
        </w:numPr>
        <w:spacing w:line="580" w:lineRule="exact"/>
      </w:pPr>
      <w:r>
        <w:rPr>
          <w:rFonts w:hint="eastAsia"/>
        </w:rPr>
        <w:t>不按规定的地点、方式冲洗车辆,造成污水漫流、遗弃垃圾的。</w:t>
      </w:r>
    </w:p>
    <w:p>
      <w:pPr>
        <w:numPr>
          <w:numId w:val="0"/>
        </w:numPr>
        <w:spacing w:line="580" w:lineRule="exact"/>
        <w:ind w:leftChars="0"/>
      </w:pPr>
    </w:p>
    <w:p>
      <w:pPr>
        <w:numPr>
          <w:ilvl w:val="0"/>
          <w:numId w:val="6"/>
        </w:numPr>
        <w:spacing w:line="580" w:lineRule="exact"/>
      </w:pPr>
      <w:r>
        <w:rPr>
          <w:rFonts w:hint="eastAsia"/>
        </w:rPr>
        <w:t>对未经批准从事城市生活垃圾经营性清扫、收集、运输或处置活动的行政处罚</w:t>
      </w:r>
    </w:p>
    <w:p>
      <w:pPr>
        <w:numPr>
          <w:ilvl w:val="0"/>
          <w:numId w:val="6"/>
        </w:numPr>
        <w:spacing w:line="580" w:lineRule="exact"/>
      </w:pPr>
      <w:r>
        <w:rPr>
          <w:rFonts w:hint="eastAsia"/>
        </w:rPr>
        <w:t>对未经核准擅自处置建筑垃圾或处置超出核准范围的建筑垃圾的行政处罚</w:t>
      </w:r>
    </w:p>
    <w:p>
      <w:pPr>
        <w:numPr>
          <w:ilvl w:val="0"/>
          <w:numId w:val="6"/>
        </w:numPr>
        <w:spacing w:line="580" w:lineRule="exact"/>
      </w:pPr>
      <w:r>
        <w:rPr>
          <w:rFonts w:hint="eastAsia"/>
        </w:rPr>
        <w:t>对擅自设置大型户外广告影响市容的行政处罚</w:t>
      </w:r>
    </w:p>
    <w:p>
      <w:pPr>
        <w:numPr>
          <w:ilvl w:val="0"/>
          <w:numId w:val="6"/>
        </w:numPr>
        <w:spacing w:line="580" w:lineRule="exact"/>
      </w:pPr>
      <w:r>
        <w:rPr>
          <w:rFonts w:hint="eastAsia"/>
        </w:rPr>
        <w:t>擅自在街道两侧和其他公共场所临时堆放物料、摆摊设点影响市容的或搭建非永久性建筑物、构筑物或者设置商亭等其他设施影响市容的行政处罚</w:t>
      </w:r>
    </w:p>
    <w:p>
      <w:pPr>
        <w:numPr>
          <w:ilvl w:val="0"/>
          <w:numId w:val="6"/>
        </w:numPr>
        <w:spacing w:line="580" w:lineRule="exact"/>
      </w:pPr>
      <w:r>
        <w:rPr>
          <w:rFonts w:hint="eastAsia"/>
        </w:rPr>
        <w:t>对未经批准擅自拆除环境卫生设施或者未按批准的拆迁方案进行拆迁的行政处罚</w:t>
      </w:r>
    </w:p>
    <w:p>
      <w:pPr>
        <w:numPr>
          <w:ilvl w:val="0"/>
          <w:numId w:val="6"/>
        </w:numPr>
        <w:spacing w:line="580" w:lineRule="exact"/>
      </w:pPr>
      <w:r>
        <w:rPr>
          <w:rFonts w:hint="eastAsia"/>
        </w:rPr>
        <w:t>对损坏各类环境卫生设施及其附属设施的行政处罚</w:t>
      </w:r>
    </w:p>
    <w:p>
      <w:pPr>
        <w:numPr>
          <w:ilvl w:val="0"/>
          <w:numId w:val="6"/>
        </w:numPr>
        <w:spacing w:line="580" w:lineRule="exact"/>
      </w:pPr>
      <w:r>
        <w:rPr>
          <w:rFonts w:hint="eastAsia"/>
        </w:rPr>
        <w:t>对共享单车经营单位未及时纠正共享单车随意停放，影响市容市貌的行政处罚</w:t>
      </w:r>
    </w:p>
    <w:p>
      <w:pPr>
        <w:numPr>
          <w:ilvl w:val="0"/>
          <w:numId w:val="6"/>
        </w:numPr>
        <w:spacing w:line="580" w:lineRule="exact"/>
      </w:pPr>
      <w:r>
        <w:rPr>
          <w:rFonts w:hint="eastAsia"/>
        </w:rPr>
        <w:t>对携犬出户未束犬链牵引以及携犬进入公园、广场等场所的行政处罚</w:t>
      </w:r>
    </w:p>
    <w:p>
      <w:pPr>
        <w:numPr>
          <w:ilvl w:val="0"/>
          <w:numId w:val="6"/>
        </w:numPr>
        <w:spacing w:line="580" w:lineRule="exact"/>
      </w:pPr>
      <w:r>
        <w:rPr>
          <w:rFonts w:hint="eastAsia"/>
        </w:rPr>
        <w:t>对不缴纳排水设施使用费和污水处理费的行政处罚</w:t>
      </w:r>
    </w:p>
    <w:p>
      <w:pPr>
        <w:numPr>
          <w:ilvl w:val="0"/>
          <w:numId w:val="6"/>
        </w:numPr>
        <w:spacing w:line="580" w:lineRule="exact"/>
      </w:pPr>
      <w:r>
        <w:rPr>
          <w:rFonts w:hint="eastAsia"/>
        </w:rPr>
        <w:t>对在城市各类工程管线、交通设施施工时，未按规定砍伐、移植或修剪城市树木的行政处罚</w:t>
      </w:r>
    </w:p>
    <w:p>
      <w:pPr>
        <w:numPr>
          <w:ilvl w:val="0"/>
          <w:numId w:val="6"/>
        </w:numPr>
        <w:spacing w:line="580" w:lineRule="exact"/>
      </w:pPr>
      <w:r>
        <w:rPr>
          <w:rFonts w:hint="eastAsia"/>
        </w:rPr>
        <w:t>对饲养家禽家畜影响市容和环境卫生的行政处罚</w:t>
      </w:r>
    </w:p>
    <w:p>
      <w:pPr>
        <w:numPr>
          <w:ilvl w:val="0"/>
          <w:numId w:val="6"/>
        </w:numPr>
        <w:spacing w:line="580" w:lineRule="exact"/>
      </w:pPr>
      <w:r>
        <w:rPr>
          <w:rFonts w:hint="eastAsia"/>
        </w:rPr>
        <w:t>对建筑物或者设施不符合城市容貌标准、环境卫生标准的行政处罚</w:t>
      </w:r>
    </w:p>
    <w:p>
      <w:pPr>
        <w:numPr>
          <w:ilvl w:val="0"/>
          <w:numId w:val="6"/>
        </w:numPr>
        <w:spacing w:line="580" w:lineRule="exact"/>
      </w:pPr>
      <w:r>
        <w:rPr>
          <w:rFonts w:hint="eastAsia"/>
        </w:rPr>
        <w:t>对城市生活垃圾收集、运输、处置单位未按规定建立台账的行政处罚</w:t>
      </w:r>
    </w:p>
    <w:p>
      <w:pPr>
        <w:numPr>
          <w:ilvl w:val="0"/>
          <w:numId w:val="6"/>
        </w:numPr>
        <w:spacing w:line="580" w:lineRule="exact"/>
      </w:pPr>
      <w:r>
        <w:rPr>
          <w:rFonts w:hint="eastAsia"/>
        </w:rPr>
        <w:t>对城市生活垃圾处置单位未报送处置报表的行政处罚</w:t>
      </w:r>
    </w:p>
    <w:p>
      <w:pPr>
        <w:numPr>
          <w:ilvl w:val="0"/>
          <w:numId w:val="6"/>
        </w:numPr>
        <w:spacing w:line="580" w:lineRule="exact"/>
      </w:pPr>
      <w:r>
        <w:rPr>
          <w:rFonts w:hint="eastAsia"/>
        </w:rPr>
        <w:t>对将分类收集的城市生活垃圾混合收集、运输、处置的行政处罚</w:t>
      </w:r>
    </w:p>
    <w:p>
      <w:pPr>
        <w:numPr>
          <w:ilvl w:val="0"/>
          <w:numId w:val="6"/>
        </w:numPr>
        <w:spacing w:line="580" w:lineRule="exact"/>
      </w:pPr>
      <w:r>
        <w:rPr>
          <w:rFonts w:hint="eastAsia"/>
        </w:rPr>
        <w:t>对未进行城市生活垃圾申报或者申报不实的行政处罚</w:t>
      </w:r>
    </w:p>
    <w:p>
      <w:pPr>
        <w:numPr>
          <w:ilvl w:val="0"/>
          <w:numId w:val="6"/>
        </w:numPr>
        <w:spacing w:line="580" w:lineRule="exact"/>
      </w:pPr>
      <w:r>
        <w:rPr>
          <w:rFonts w:hint="eastAsia"/>
        </w:rPr>
        <w:t>对从事城市生活垃圾经营性清扫、收集、运输、处置的企业，未经批准擅自停业、歇业的行政处罚</w:t>
      </w:r>
    </w:p>
    <w:p>
      <w:pPr>
        <w:numPr>
          <w:ilvl w:val="0"/>
          <w:numId w:val="6"/>
        </w:numPr>
        <w:spacing w:line="580" w:lineRule="exact"/>
      </w:pPr>
      <w:r>
        <w:rPr>
          <w:rFonts w:hint="eastAsia"/>
        </w:rPr>
        <w:t>对城市生活垃圾处置单位未保持处置设施、设备正常运行的行政处罚</w:t>
      </w:r>
    </w:p>
    <w:p>
      <w:pPr>
        <w:numPr>
          <w:ilvl w:val="0"/>
          <w:numId w:val="6"/>
        </w:numPr>
        <w:spacing w:line="580" w:lineRule="exact"/>
      </w:pPr>
      <w:r>
        <w:rPr>
          <w:rFonts w:hint="eastAsia"/>
        </w:rPr>
        <w:t>对城市生活垃圾处置单位未按规定要求提交检测报告的行政处罚</w:t>
      </w:r>
    </w:p>
    <w:p>
      <w:pPr>
        <w:numPr>
          <w:ilvl w:val="0"/>
          <w:numId w:val="6"/>
        </w:numPr>
        <w:spacing w:line="580" w:lineRule="exact"/>
      </w:pPr>
      <w:r>
        <w:rPr>
          <w:rFonts w:hint="eastAsia"/>
        </w:rPr>
        <w:t>对单位和个人未按规定缴纳城市生活垃圾处理费的行政处罚</w:t>
      </w:r>
    </w:p>
    <w:p>
      <w:pPr>
        <w:numPr>
          <w:ilvl w:val="0"/>
          <w:numId w:val="6"/>
        </w:numPr>
        <w:spacing w:line="580" w:lineRule="exact"/>
      </w:pPr>
      <w:r>
        <w:rPr>
          <w:rFonts w:hint="eastAsia"/>
        </w:rPr>
        <w:t>对市政设施管理范围内违规行为的行政处罚：</w:t>
      </w:r>
    </w:p>
    <w:p>
      <w:pPr>
        <w:numPr>
          <w:ilvl w:val="0"/>
          <w:numId w:val="10"/>
        </w:numPr>
        <w:spacing w:line="580" w:lineRule="exact"/>
      </w:pPr>
      <w:r>
        <w:rPr>
          <w:rFonts w:hint="eastAsia"/>
        </w:rPr>
        <w:t>市政设施的施工、养护、维修现场未设置明显标志和安全防护设施的；</w:t>
      </w:r>
    </w:p>
    <w:p>
      <w:pPr>
        <w:numPr>
          <w:ilvl w:val="0"/>
          <w:numId w:val="10"/>
        </w:numPr>
        <w:spacing w:line="580" w:lineRule="exact"/>
      </w:pPr>
      <w:r>
        <w:rPr>
          <w:rFonts w:hint="eastAsia"/>
        </w:rPr>
        <w:t>未按规定进行养护、维修或者养护、维修工程质量不符合标准的；</w:t>
      </w:r>
    </w:p>
    <w:p>
      <w:pPr>
        <w:numPr>
          <w:ilvl w:val="0"/>
          <w:numId w:val="10"/>
        </w:numPr>
        <w:spacing w:line="580" w:lineRule="exact"/>
      </w:pPr>
      <w:r>
        <w:rPr>
          <w:rFonts w:hint="eastAsia"/>
        </w:rPr>
        <w:t>超限车辆未按规定办理手续而通行的；</w:t>
      </w:r>
    </w:p>
    <w:p>
      <w:pPr>
        <w:numPr>
          <w:ilvl w:val="0"/>
          <w:numId w:val="10"/>
        </w:numPr>
        <w:spacing w:line="580" w:lineRule="exact"/>
      </w:pPr>
      <w:r>
        <w:rPr>
          <w:rFonts w:hint="eastAsia"/>
        </w:rPr>
        <w:t>未经批准擅自迁建、改建城市道路、排水、照明等设施的；</w:t>
      </w:r>
    </w:p>
    <w:p>
      <w:pPr>
        <w:numPr>
          <w:ilvl w:val="0"/>
          <w:numId w:val="10"/>
        </w:numPr>
        <w:spacing w:line="580" w:lineRule="exact"/>
      </w:pPr>
      <w:r>
        <w:rPr>
          <w:rFonts w:hint="eastAsia"/>
        </w:rPr>
        <w:t>未取得排水许可证擅自向排水设施排放污水或超标排放废水的；</w:t>
      </w:r>
    </w:p>
    <w:p>
      <w:pPr>
        <w:numPr>
          <w:ilvl w:val="0"/>
          <w:numId w:val="10"/>
        </w:numPr>
        <w:spacing w:line="580" w:lineRule="exact"/>
      </w:pPr>
      <w:r>
        <w:rPr>
          <w:rFonts w:hint="eastAsia"/>
        </w:rPr>
        <w:t>挖掘、堵塞、填埋、腐蚀等损害城市排水设施的；</w:t>
      </w:r>
    </w:p>
    <w:p>
      <w:pPr>
        <w:numPr>
          <w:ilvl w:val="0"/>
          <w:numId w:val="10"/>
        </w:numPr>
        <w:spacing w:line="580" w:lineRule="exact"/>
      </w:pPr>
      <w:r>
        <w:rPr>
          <w:rFonts w:hint="eastAsia"/>
        </w:rPr>
        <w:t>占压各种窨井、通道口，阻塞排水管道、沟渠及出水口的；</w:t>
      </w:r>
    </w:p>
    <w:p>
      <w:pPr>
        <w:numPr>
          <w:ilvl w:val="0"/>
          <w:numId w:val="10"/>
        </w:numPr>
        <w:spacing w:line="580" w:lineRule="exact"/>
      </w:pPr>
      <w:r>
        <w:rPr>
          <w:rFonts w:hint="eastAsia"/>
        </w:rPr>
        <w:t>其他地下管线穿通排水管道、检查井和雨水井的；</w:t>
      </w:r>
    </w:p>
    <w:p>
      <w:pPr>
        <w:numPr>
          <w:ilvl w:val="0"/>
          <w:numId w:val="10"/>
        </w:numPr>
        <w:spacing w:line="580" w:lineRule="exact"/>
      </w:pPr>
      <w:r>
        <w:rPr>
          <w:rFonts w:hint="eastAsia"/>
        </w:rPr>
        <w:t>已经采取分流制排水系统，将雨水管和污水管混接的；</w:t>
      </w:r>
    </w:p>
    <w:p>
      <w:pPr>
        <w:numPr>
          <w:ilvl w:val="0"/>
          <w:numId w:val="10"/>
        </w:numPr>
        <w:spacing w:line="580" w:lineRule="exact"/>
      </w:pPr>
      <w:r>
        <w:rPr>
          <w:rFonts w:hint="eastAsia"/>
        </w:rPr>
        <w:t>当街排放生活污水的；</w:t>
      </w:r>
    </w:p>
    <w:p>
      <w:pPr>
        <w:numPr>
          <w:ilvl w:val="0"/>
          <w:numId w:val="10"/>
        </w:numPr>
        <w:spacing w:line="580" w:lineRule="exact"/>
      </w:pPr>
      <w:r>
        <w:rPr>
          <w:rFonts w:hint="eastAsia"/>
        </w:rPr>
        <w:t>在桥涵设施管理范围内修建影响桥涵功能与安全的建筑物、构筑物及从事爆破、挖掘等有碍桥涵安全的作业的；</w:t>
      </w:r>
    </w:p>
    <w:p>
      <w:pPr>
        <w:numPr>
          <w:ilvl w:val="0"/>
          <w:numId w:val="10"/>
        </w:numPr>
        <w:spacing w:line="580" w:lineRule="exact"/>
      </w:pPr>
      <w:r>
        <w:rPr>
          <w:rFonts w:hint="eastAsia"/>
        </w:rPr>
        <w:t>私自接用路灯电源，损坏、偷盗城市道路照明设施的；</w:t>
      </w:r>
    </w:p>
    <w:p>
      <w:pPr>
        <w:numPr>
          <w:ilvl w:val="0"/>
          <w:numId w:val="10"/>
        </w:numPr>
        <w:spacing w:line="580" w:lineRule="exact"/>
      </w:pPr>
      <w:r>
        <w:rPr>
          <w:rFonts w:hint="eastAsia"/>
        </w:rPr>
        <w:t>其他损害、侵占市政设施的行为。</w:t>
      </w:r>
    </w:p>
    <w:p>
      <w:pPr>
        <w:numPr>
          <w:ilvl w:val="0"/>
          <w:numId w:val="6"/>
        </w:numPr>
        <w:spacing w:line="580" w:lineRule="exact"/>
      </w:pPr>
      <w:r>
        <w:rPr>
          <w:rFonts w:hint="eastAsia"/>
        </w:rPr>
        <w:t>对擅自砍伐、移植或修剪城市规划区内树木的行为的行政处罚</w:t>
      </w:r>
    </w:p>
    <w:p>
      <w:pPr>
        <w:numPr>
          <w:ilvl w:val="0"/>
          <w:numId w:val="6"/>
        </w:numPr>
        <w:spacing w:line="580" w:lineRule="exact"/>
      </w:pPr>
      <w:r>
        <w:rPr>
          <w:rFonts w:hint="eastAsia"/>
        </w:rPr>
        <w:t>对下列损害城市绿化及其设施行为的行政处罚：</w:t>
      </w:r>
    </w:p>
    <w:p>
      <w:pPr>
        <w:numPr>
          <w:ilvl w:val="0"/>
          <w:numId w:val="11"/>
        </w:numPr>
        <w:spacing w:line="580" w:lineRule="exact"/>
      </w:pPr>
      <w:r>
        <w:rPr>
          <w:rFonts w:hint="eastAsia"/>
        </w:rPr>
        <w:t>损坏城市树木、花草、草坪或盗窃绿地设施的；</w:t>
      </w:r>
    </w:p>
    <w:p>
      <w:pPr>
        <w:numPr>
          <w:ilvl w:val="0"/>
          <w:numId w:val="11"/>
        </w:numPr>
        <w:spacing w:line="580" w:lineRule="exact"/>
      </w:pPr>
      <w:r>
        <w:rPr>
          <w:rFonts w:hint="eastAsia"/>
        </w:rPr>
        <w:t>就树盖房，在绿地内或树木下搭灶生火，倾倒有害物质的；</w:t>
      </w:r>
    </w:p>
    <w:p>
      <w:pPr>
        <w:numPr>
          <w:ilvl w:val="0"/>
          <w:numId w:val="11"/>
        </w:numPr>
        <w:spacing w:line="580" w:lineRule="exact"/>
      </w:pPr>
      <w:r>
        <w:rPr>
          <w:rFonts w:hint="eastAsia"/>
        </w:rPr>
        <w:t>砍伐、擅自迁移古树名木或者因养护不善致使古树死亡的；</w:t>
      </w:r>
    </w:p>
    <w:p>
      <w:pPr>
        <w:numPr>
          <w:ilvl w:val="0"/>
          <w:numId w:val="11"/>
        </w:numPr>
        <w:spacing w:line="580" w:lineRule="exact"/>
      </w:pPr>
      <w:r>
        <w:rPr>
          <w:rFonts w:hint="eastAsia"/>
        </w:rPr>
        <w:t>在树木上架设电线，在绿地内停放车辆、放牧或乱扔废弃物，在绿地和道路两侧绿篱内挖坑取土的；</w:t>
      </w:r>
    </w:p>
    <w:p>
      <w:pPr>
        <w:numPr>
          <w:ilvl w:val="0"/>
          <w:numId w:val="11"/>
        </w:numPr>
        <w:spacing w:line="580" w:lineRule="exact"/>
      </w:pPr>
      <w:r>
        <w:rPr>
          <w:rFonts w:hint="eastAsia"/>
        </w:rPr>
        <w:t>其他损害城市绿化及其设施的。</w:t>
      </w:r>
    </w:p>
    <w:p>
      <w:pPr>
        <w:numPr>
          <w:ilvl w:val="0"/>
          <w:numId w:val="6"/>
        </w:numPr>
        <w:spacing w:line="580" w:lineRule="exact"/>
      </w:pPr>
      <w:r>
        <w:rPr>
          <w:rFonts w:hint="eastAsia"/>
        </w:rPr>
        <w:t>对城市生活垃圾处置设施建设单位不按照规定报送建设工程项目档案的行政处罚</w:t>
      </w:r>
    </w:p>
    <w:p>
      <w:pPr>
        <w:numPr>
          <w:ilvl w:val="0"/>
          <w:numId w:val="6"/>
        </w:numPr>
        <w:spacing w:line="580" w:lineRule="exact"/>
      </w:pPr>
      <w:r>
        <w:rPr>
          <w:rFonts w:hint="eastAsia"/>
        </w:rPr>
        <w:t>对未按照城市生活垃圾治理规划和环境卫生设施标准配套建设城市生活垃圾收集设施的行政处罚</w:t>
      </w:r>
    </w:p>
    <w:p>
      <w:pPr>
        <w:numPr>
          <w:ilvl w:val="0"/>
          <w:numId w:val="6"/>
        </w:numPr>
        <w:spacing w:line="580" w:lineRule="exact"/>
      </w:pPr>
      <w:r>
        <w:rPr>
          <w:rFonts w:hint="eastAsia"/>
        </w:rPr>
        <w:t>对城市生活垃圾处置设施未经验收或者验收不合格投入使用的行政处罚</w:t>
      </w:r>
    </w:p>
    <w:p>
      <w:pPr>
        <w:pStyle w:val="3"/>
        <w:spacing w:line="580" w:lineRule="exact"/>
      </w:pPr>
      <w:bookmarkStart w:id="3" w:name="_Toc20559"/>
      <w:r>
        <w:rPr>
          <w:rFonts w:hint="eastAsia"/>
        </w:rPr>
        <w:t>三、行政强制</w:t>
      </w:r>
      <w:bookmarkEnd w:id="3"/>
      <w:r>
        <w:rPr>
          <w:rFonts w:hint="eastAsia"/>
        </w:rPr>
        <w:t>（共0项）</w:t>
      </w:r>
    </w:p>
    <w:p>
      <w:pPr>
        <w:pStyle w:val="3"/>
        <w:spacing w:line="580" w:lineRule="exact"/>
      </w:pPr>
      <w:bookmarkStart w:id="4" w:name="_Toc1239"/>
      <w:r>
        <w:rPr>
          <w:rFonts w:hint="eastAsia"/>
        </w:rPr>
        <w:t>四、行政征收</w:t>
      </w:r>
      <w:bookmarkEnd w:id="4"/>
      <w:r>
        <w:rPr>
          <w:rFonts w:hint="eastAsia"/>
        </w:rPr>
        <w:t>（共0项）</w:t>
      </w:r>
    </w:p>
    <w:p>
      <w:pPr>
        <w:pStyle w:val="3"/>
        <w:spacing w:line="580" w:lineRule="exact"/>
      </w:pPr>
      <w:bookmarkStart w:id="5" w:name="_Toc20102"/>
      <w:r>
        <w:rPr>
          <w:rFonts w:hint="eastAsia"/>
        </w:rPr>
        <w:t>五、行政给付</w:t>
      </w:r>
      <w:bookmarkEnd w:id="5"/>
      <w:r>
        <w:rPr>
          <w:rFonts w:hint="eastAsia"/>
        </w:rPr>
        <w:t>（共0项）</w:t>
      </w:r>
    </w:p>
    <w:p>
      <w:pPr>
        <w:pStyle w:val="3"/>
        <w:spacing w:line="580" w:lineRule="exact"/>
      </w:pPr>
      <w:bookmarkStart w:id="6" w:name="_Toc26773"/>
      <w:bookmarkStart w:id="7" w:name="_Toc28226"/>
      <w:r>
        <w:rPr>
          <w:rFonts w:hint="eastAsia"/>
        </w:rPr>
        <w:t>六、行政检查（共4项）</w:t>
      </w:r>
      <w:bookmarkEnd w:id="6"/>
    </w:p>
    <w:p>
      <w:pPr>
        <w:numPr>
          <w:ilvl w:val="0"/>
          <w:numId w:val="12"/>
        </w:numPr>
        <w:spacing w:line="580" w:lineRule="exact"/>
        <w:ind w:left="0" w:firstLine="0"/>
      </w:pPr>
      <w:r>
        <w:rPr>
          <w:rFonts w:hint="eastAsia"/>
        </w:rPr>
        <w:t>对城市绿线的控制和实施情况进行检查</w:t>
      </w:r>
    </w:p>
    <w:p>
      <w:pPr>
        <w:numPr>
          <w:ilvl w:val="0"/>
          <w:numId w:val="12"/>
        </w:numPr>
        <w:spacing w:line="580" w:lineRule="exact"/>
        <w:ind w:left="0" w:firstLine="0"/>
      </w:pPr>
      <w:r>
        <w:rPr>
          <w:rFonts w:hint="eastAsia"/>
        </w:rPr>
        <w:t>对本辖区的市容环境卫生工作进行监督检查</w:t>
      </w:r>
    </w:p>
    <w:p>
      <w:pPr>
        <w:numPr>
          <w:ilvl w:val="0"/>
          <w:numId w:val="12"/>
        </w:numPr>
        <w:spacing w:line="580" w:lineRule="exact"/>
        <w:ind w:left="0" w:firstLine="0"/>
      </w:pPr>
      <w:r>
        <w:rPr>
          <w:rFonts w:hint="eastAsia"/>
        </w:rPr>
        <w:t>对本行政区域内城市生活垃圾清扫、收集、运输、处置单位执行《河南省城市生活垃圾处理管理办法》的情况进行监督检查</w:t>
      </w:r>
    </w:p>
    <w:p>
      <w:pPr>
        <w:numPr>
          <w:ilvl w:val="0"/>
          <w:numId w:val="12"/>
        </w:numPr>
        <w:spacing w:line="580" w:lineRule="exact"/>
        <w:ind w:left="0" w:firstLine="0"/>
      </w:pPr>
      <w:r>
        <w:rPr>
          <w:rFonts w:hint="eastAsia"/>
        </w:rPr>
        <w:t>对城镇排水与污水处理设施运行维护和保护情况的监督检查</w:t>
      </w:r>
    </w:p>
    <w:p>
      <w:pPr>
        <w:pStyle w:val="3"/>
        <w:spacing w:line="580" w:lineRule="exact"/>
      </w:pPr>
      <w:r>
        <w:rPr>
          <w:rFonts w:hint="eastAsia"/>
        </w:rPr>
        <w:t>七、行政确认</w:t>
      </w:r>
      <w:bookmarkEnd w:id="7"/>
      <w:r>
        <w:rPr>
          <w:rFonts w:hint="eastAsia"/>
        </w:rPr>
        <w:t>（共0项）</w:t>
      </w:r>
    </w:p>
    <w:p>
      <w:pPr>
        <w:pStyle w:val="3"/>
        <w:spacing w:line="580" w:lineRule="exact"/>
      </w:pPr>
      <w:bookmarkStart w:id="8" w:name="_Toc30236"/>
      <w:r>
        <w:rPr>
          <w:rFonts w:hint="eastAsia"/>
        </w:rPr>
        <w:t>八、行政奖励</w:t>
      </w:r>
      <w:bookmarkEnd w:id="8"/>
      <w:r>
        <w:rPr>
          <w:rFonts w:hint="eastAsia"/>
        </w:rPr>
        <w:t>（共0项）</w:t>
      </w:r>
    </w:p>
    <w:p>
      <w:pPr>
        <w:pStyle w:val="3"/>
        <w:spacing w:line="580" w:lineRule="exact"/>
      </w:pPr>
      <w:bookmarkStart w:id="9" w:name="_Toc5788"/>
      <w:r>
        <w:rPr>
          <w:rFonts w:hint="eastAsia"/>
        </w:rPr>
        <w:t>九、行政裁决</w:t>
      </w:r>
      <w:bookmarkEnd w:id="9"/>
      <w:r>
        <w:rPr>
          <w:rFonts w:hint="eastAsia"/>
        </w:rPr>
        <w:t>（共0项）</w:t>
      </w:r>
    </w:p>
    <w:p>
      <w:pPr>
        <w:pStyle w:val="3"/>
        <w:spacing w:line="580" w:lineRule="exact"/>
      </w:pPr>
      <w:bookmarkStart w:id="10" w:name="_Toc17637"/>
      <w:r>
        <w:rPr>
          <w:rFonts w:hint="eastAsia"/>
        </w:rPr>
        <w:t>十、其他职权</w:t>
      </w:r>
      <w:bookmarkEnd w:id="10"/>
      <w:r>
        <w:rPr>
          <w:rFonts w:hint="eastAsia"/>
        </w:rPr>
        <w:t>（共0项）</w:t>
      </w:r>
    </w:p>
    <w:p>
      <w:pPr>
        <w:rPr>
          <w:rFonts w:hint="eastAsia"/>
        </w:rPr>
      </w:pPr>
    </w:p>
    <w:p>
      <w:pPr>
        <w:spacing w:line="580" w:lineRule="exact"/>
        <w:jc w:val="right"/>
      </w:pPr>
      <w:r>
        <w:rPr>
          <w:rFonts w:hint="eastAsia"/>
        </w:rPr>
        <w:t>淮阳县城市管理局</w:t>
      </w:r>
    </w:p>
    <w:p>
      <w:pPr>
        <w:spacing w:line="580" w:lineRule="exact"/>
        <w:jc w:val="right"/>
      </w:pPr>
      <w:r>
        <w:rPr>
          <w:rFonts w:hint="eastAsia"/>
        </w:rPr>
        <w:t>2019年12月5日</w:t>
      </w:r>
    </w:p>
    <w:sectPr>
      <w:footerReference r:id="rId3" w:type="default"/>
      <w:pgSz w:w="11906" w:h="16838"/>
      <w:pgMar w:top="1440" w:right="1800" w:bottom="1440" w:left="1800" w:header="851" w:footer="992" w:gutter="0"/>
      <w:pgNumType w:start="3"/>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等线">
    <w:altName w:val="宋体"/>
    <w:panose1 w:val="02010600030101010101"/>
    <w:charset w:val="86"/>
    <w:family w:val="auto"/>
    <w:pitch w:val="default"/>
    <w:sig w:usb0="00000000" w:usb1="00000000" w:usb2="00000016" w:usb3="00000000" w:csb0="0004000F" w:csb1="00000000"/>
  </w:font>
  <w:font w:name="等线">
    <w:altName w:val="宋体"/>
    <w:panose1 w:val="00000000000000000000"/>
    <w:charset w:val="86"/>
    <w:family w:val="auto"/>
    <w:pitch w:val="default"/>
    <w:sig w:usb0="00000000" w:usb1="00000000" w:usb2="00000000" w:usb3="00000000" w:csb0="00000000" w:csb1="00000000"/>
  </w:font>
  <w:font w:name="等线">
    <w:altName w:val="Courier New"/>
    <w:panose1 w:val="00000000000000000000"/>
    <w:charset w:val="00"/>
    <w:family w:val="auto"/>
    <w:pitch w:val="default"/>
    <w:sig w:usb0="00000000" w:usb1="00000000" w:usb2="00000000" w:usb3="00000000" w:csb0="00000000" w:csb1="00000000"/>
  </w:font>
  <w:font w:name="方正小标宋简体">
    <w:altName w:val="仿宋_GB2312"/>
    <w:panose1 w:val="03000509000000000000"/>
    <w:charset w:val="86"/>
    <w:family w:val="script"/>
    <w:pitch w:val="default"/>
    <w:sig w:usb0="00000000" w:usb1="00000000" w:usb2="00000010" w:usb3="00000000" w:csb0="00040000" w:csb1="00000000"/>
  </w:font>
  <w:font w:name="Arial">
    <w:panose1 w:val="020B0604020202020204"/>
    <w:charset w:val="00"/>
    <w:family w:val="swiss"/>
    <w:pitch w:val="default"/>
    <w:sig w:usb0="00007A87" w:usb1="80000000" w:usb2="00000008" w:usb3="00000000" w:csb0="400001FF" w:csb1="FFFF0000"/>
  </w:font>
  <w:font w:name="Courier New">
    <w:panose1 w:val="02070309020205020404"/>
    <w:charset w:val="00"/>
    <w:family w:val="auto"/>
    <w:pitch w:val="default"/>
    <w:sig w:usb0="00007A87" w:usb1="80000000" w:usb2="00000008" w:usb3="00000000" w:csb0="400001FF" w:csb1="FFFF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center"/>
    </w:pPr>
    <w:r>
      <w:fldChar w:fldCharType="begin"/>
    </w:r>
    <w:r>
      <w:instrText xml:space="preserve">PAGE   \* MERGEFORMAT</w:instrText>
    </w:r>
    <w:r>
      <w:fldChar w:fldCharType="separate"/>
    </w:r>
    <w:r>
      <w:rPr>
        <w:lang w:val="zh-CN"/>
      </w:rPr>
      <w:t>154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E31958"/>
    <w:multiLevelType w:val="singleLevel"/>
    <w:tmpl w:val="0CE31958"/>
    <w:lvl w:ilvl="0" w:tentative="0">
      <w:start w:val="1"/>
      <w:numFmt w:val="decimal"/>
      <w:lvlText w:val="（%1）"/>
      <w:lvlJc w:val="left"/>
      <w:pPr>
        <w:tabs>
          <w:tab w:val="left" w:pos="0"/>
        </w:tabs>
        <w:ind w:left="0" w:firstLine="0"/>
      </w:pPr>
      <w:rPr>
        <w:rFonts w:hint="default" w:ascii="宋体" w:hAnsi="宋体" w:eastAsia="宋体" w:cs="宋体"/>
        <w:sz w:val="32"/>
      </w:rPr>
    </w:lvl>
  </w:abstractNum>
  <w:abstractNum w:abstractNumId="1">
    <w:nsid w:val="14E12E47"/>
    <w:multiLevelType w:val="singleLevel"/>
    <w:tmpl w:val="14E12E47"/>
    <w:lvl w:ilvl="0" w:tentative="0">
      <w:start w:val="1"/>
      <w:numFmt w:val="decimal"/>
      <w:suff w:val="nothing"/>
      <w:lvlText w:val="%1．"/>
      <w:lvlJc w:val="left"/>
      <w:pPr>
        <w:ind w:left="0" w:firstLine="0"/>
      </w:pPr>
      <w:rPr>
        <w:rFonts w:hint="default"/>
      </w:rPr>
    </w:lvl>
  </w:abstractNum>
  <w:abstractNum w:abstractNumId="2">
    <w:nsid w:val="17141A8E"/>
    <w:multiLevelType w:val="singleLevel"/>
    <w:tmpl w:val="17141A8E"/>
    <w:lvl w:ilvl="0" w:tentative="0">
      <w:start w:val="1"/>
      <w:numFmt w:val="decimal"/>
      <w:suff w:val="nothing"/>
      <w:lvlText w:val="%1．"/>
      <w:lvlJc w:val="left"/>
      <w:pPr>
        <w:ind w:left="0" w:firstLine="0"/>
      </w:pPr>
      <w:rPr>
        <w:rFonts w:hint="default"/>
      </w:rPr>
    </w:lvl>
  </w:abstractNum>
  <w:abstractNum w:abstractNumId="3">
    <w:nsid w:val="285F6BB1"/>
    <w:multiLevelType w:val="singleLevel"/>
    <w:tmpl w:val="285F6BB1"/>
    <w:lvl w:ilvl="0" w:tentative="0">
      <w:start w:val="1"/>
      <w:numFmt w:val="decimal"/>
      <w:lvlText w:val="（%1）"/>
      <w:lvlJc w:val="left"/>
      <w:pPr>
        <w:tabs>
          <w:tab w:val="left" w:pos="0"/>
        </w:tabs>
        <w:ind w:left="0" w:firstLine="0"/>
      </w:pPr>
      <w:rPr>
        <w:rFonts w:hint="default" w:ascii="宋体" w:hAnsi="宋体" w:eastAsia="宋体" w:cs="宋体"/>
        <w:sz w:val="32"/>
      </w:rPr>
    </w:lvl>
  </w:abstractNum>
  <w:abstractNum w:abstractNumId="4">
    <w:nsid w:val="41E646BA"/>
    <w:multiLevelType w:val="singleLevel"/>
    <w:tmpl w:val="41E646BA"/>
    <w:lvl w:ilvl="0" w:tentative="0">
      <w:start w:val="1"/>
      <w:numFmt w:val="decimal"/>
      <w:lvlText w:val="（%1）"/>
      <w:lvlJc w:val="left"/>
      <w:pPr>
        <w:tabs>
          <w:tab w:val="left" w:pos="0"/>
        </w:tabs>
        <w:ind w:left="0" w:firstLine="0"/>
      </w:pPr>
      <w:rPr>
        <w:rFonts w:hint="default" w:ascii="宋体" w:hAnsi="宋体" w:eastAsia="宋体" w:cs="宋体"/>
        <w:sz w:val="32"/>
      </w:rPr>
    </w:lvl>
  </w:abstractNum>
  <w:abstractNum w:abstractNumId="5">
    <w:nsid w:val="4C4F4429"/>
    <w:multiLevelType w:val="singleLevel"/>
    <w:tmpl w:val="4C4F4429"/>
    <w:lvl w:ilvl="0" w:tentative="0">
      <w:start w:val="1"/>
      <w:numFmt w:val="decimal"/>
      <w:lvlText w:val="（%1）"/>
      <w:lvlJc w:val="left"/>
      <w:pPr>
        <w:tabs>
          <w:tab w:val="left" w:pos="0"/>
        </w:tabs>
        <w:ind w:left="0" w:firstLine="0"/>
      </w:pPr>
      <w:rPr>
        <w:rFonts w:hint="default" w:ascii="宋体" w:hAnsi="宋体" w:eastAsia="宋体" w:cs="宋体"/>
        <w:sz w:val="32"/>
      </w:rPr>
    </w:lvl>
  </w:abstractNum>
  <w:abstractNum w:abstractNumId="6">
    <w:nsid w:val="63F27B2C"/>
    <w:multiLevelType w:val="singleLevel"/>
    <w:tmpl w:val="63F27B2C"/>
    <w:lvl w:ilvl="0" w:tentative="0">
      <w:start w:val="1"/>
      <w:numFmt w:val="decimal"/>
      <w:lvlText w:val="（%1）"/>
      <w:lvlJc w:val="left"/>
      <w:pPr>
        <w:tabs>
          <w:tab w:val="left" w:pos="0"/>
        </w:tabs>
        <w:ind w:left="0" w:firstLine="0"/>
      </w:pPr>
      <w:rPr>
        <w:rFonts w:hint="default" w:ascii="宋体" w:hAnsi="宋体" w:eastAsia="宋体" w:cs="宋体"/>
        <w:sz w:val="32"/>
      </w:rPr>
    </w:lvl>
  </w:abstractNum>
  <w:abstractNum w:abstractNumId="7">
    <w:nsid w:val="6E7D7035"/>
    <w:multiLevelType w:val="singleLevel"/>
    <w:tmpl w:val="6E7D7035"/>
    <w:lvl w:ilvl="0" w:tentative="0">
      <w:start w:val="1"/>
      <w:numFmt w:val="decimal"/>
      <w:lvlText w:val="（%1）"/>
      <w:lvlJc w:val="left"/>
      <w:pPr>
        <w:tabs>
          <w:tab w:val="left" w:pos="0"/>
        </w:tabs>
        <w:ind w:left="0" w:firstLine="0"/>
      </w:pPr>
      <w:rPr>
        <w:rFonts w:hint="default" w:ascii="宋体" w:hAnsi="宋体" w:eastAsia="宋体" w:cs="宋体"/>
        <w:sz w:val="32"/>
      </w:rPr>
    </w:lvl>
  </w:abstractNum>
  <w:abstractNum w:abstractNumId="8">
    <w:nsid w:val="77C34024"/>
    <w:multiLevelType w:val="singleLevel"/>
    <w:tmpl w:val="77C34024"/>
    <w:lvl w:ilvl="0" w:tentative="0">
      <w:start w:val="1"/>
      <w:numFmt w:val="decimal"/>
      <w:lvlText w:val="（%1）"/>
      <w:lvlJc w:val="left"/>
      <w:pPr>
        <w:tabs>
          <w:tab w:val="left" w:pos="0"/>
        </w:tabs>
        <w:ind w:left="0" w:firstLine="0"/>
      </w:pPr>
      <w:rPr>
        <w:rFonts w:hint="default" w:ascii="宋体" w:hAnsi="宋体" w:eastAsia="宋体" w:cs="宋体"/>
        <w:sz w:val="32"/>
      </w:rPr>
    </w:lvl>
  </w:abstractNum>
  <w:abstractNum w:abstractNumId="9">
    <w:nsid w:val="789B2786"/>
    <w:multiLevelType w:val="singleLevel"/>
    <w:tmpl w:val="789B2786"/>
    <w:lvl w:ilvl="0" w:tentative="0">
      <w:start w:val="1"/>
      <w:numFmt w:val="decimal"/>
      <w:lvlText w:val="（%1）"/>
      <w:lvlJc w:val="left"/>
      <w:pPr>
        <w:tabs>
          <w:tab w:val="left" w:pos="0"/>
        </w:tabs>
        <w:ind w:left="0" w:firstLine="0"/>
      </w:pPr>
      <w:rPr>
        <w:rFonts w:hint="default" w:ascii="宋体" w:hAnsi="宋体" w:eastAsia="宋体" w:cs="宋体"/>
        <w:sz w:val="32"/>
      </w:rPr>
    </w:lvl>
  </w:abstractNum>
  <w:abstractNum w:abstractNumId="10">
    <w:nsid w:val="7AB12321"/>
    <w:multiLevelType w:val="multilevel"/>
    <w:tmpl w:val="7AB12321"/>
    <w:lvl w:ilvl="0" w:tentative="0">
      <w:start w:val="1"/>
      <w:numFmt w:val="decimal"/>
      <w:lvlText w:val="%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1">
    <w:nsid w:val="7E5421D5"/>
    <w:multiLevelType w:val="singleLevel"/>
    <w:tmpl w:val="7E5421D5"/>
    <w:lvl w:ilvl="0" w:tentative="0">
      <w:start w:val="1"/>
      <w:numFmt w:val="decimal"/>
      <w:lvlText w:val="（%1）"/>
      <w:lvlJc w:val="left"/>
      <w:pPr>
        <w:tabs>
          <w:tab w:val="left" w:pos="0"/>
        </w:tabs>
        <w:ind w:left="0" w:firstLine="0"/>
      </w:pPr>
      <w:rPr>
        <w:rFonts w:hint="default" w:ascii="宋体" w:hAnsi="宋体" w:eastAsia="宋体" w:cs="宋体"/>
        <w:sz w:val="32"/>
      </w:rPr>
    </w:lvl>
  </w:abstractNum>
  <w:num w:numId="1">
    <w:abstractNumId w:val="2"/>
  </w:num>
  <w:num w:numId="2">
    <w:abstractNumId w:val="5"/>
  </w:num>
  <w:num w:numId="3">
    <w:abstractNumId w:val="0"/>
  </w:num>
  <w:num w:numId="4">
    <w:abstractNumId w:val="3"/>
  </w:num>
  <w:num w:numId="5">
    <w:abstractNumId w:val="6"/>
  </w:num>
  <w:num w:numId="6">
    <w:abstractNumId w:val="1"/>
  </w:num>
  <w:num w:numId="7">
    <w:abstractNumId w:val="7"/>
  </w:num>
  <w:num w:numId="8">
    <w:abstractNumId w:val="4"/>
  </w:num>
  <w:num w:numId="9">
    <w:abstractNumId w:val="11"/>
  </w:num>
  <w:num w:numId="10">
    <w:abstractNumId w:val="8"/>
  </w:num>
  <w:num w:numId="11">
    <w:abstractNumId w:val="9"/>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7B9B"/>
    <w:rsid w:val="000C6817"/>
    <w:rsid w:val="00143C77"/>
    <w:rsid w:val="001469D4"/>
    <w:rsid w:val="001B45AB"/>
    <w:rsid w:val="00397400"/>
    <w:rsid w:val="004231E7"/>
    <w:rsid w:val="00696D88"/>
    <w:rsid w:val="00776C3C"/>
    <w:rsid w:val="00777B9B"/>
    <w:rsid w:val="007C0CFE"/>
    <w:rsid w:val="009D3945"/>
    <w:rsid w:val="00C44BD1"/>
    <w:rsid w:val="3ED03446"/>
    <w:rsid w:val="7BBD0CB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600" w:lineRule="exact"/>
      <w:jc w:val="both"/>
    </w:pPr>
    <w:rPr>
      <w:rFonts w:ascii="Times New Roman" w:hAnsi="Times New Roman" w:eastAsia="宋体" w:cs="Times New Roman"/>
      <w:kern w:val="2"/>
      <w:sz w:val="32"/>
      <w:szCs w:val="20"/>
      <w:lang w:val="en-US" w:eastAsia="zh-CN" w:bidi="ar-SA"/>
    </w:rPr>
  </w:style>
  <w:style w:type="paragraph" w:styleId="2">
    <w:name w:val="heading 1"/>
    <w:basedOn w:val="1"/>
    <w:next w:val="1"/>
    <w:link w:val="10"/>
    <w:qFormat/>
    <w:uiPriority w:val="0"/>
    <w:pPr>
      <w:keepNext/>
      <w:keepLines/>
      <w:spacing w:before="340" w:after="330"/>
      <w:jc w:val="center"/>
      <w:outlineLvl w:val="0"/>
    </w:pPr>
    <w:rPr>
      <w:rFonts w:eastAsia="方正小标宋简体"/>
      <w:bCs/>
      <w:kern w:val="44"/>
      <w:sz w:val="44"/>
      <w:szCs w:val="44"/>
    </w:rPr>
  </w:style>
  <w:style w:type="paragraph" w:styleId="3">
    <w:name w:val="heading 2"/>
    <w:basedOn w:val="1"/>
    <w:next w:val="1"/>
    <w:link w:val="11"/>
    <w:qFormat/>
    <w:uiPriority w:val="0"/>
    <w:pPr>
      <w:keepNext/>
      <w:keepLines/>
      <w:spacing w:before="20" w:after="20"/>
      <w:jc w:val="left"/>
      <w:outlineLvl w:val="1"/>
    </w:pPr>
    <w:rPr>
      <w:rFonts w:ascii="Arial" w:hAnsi="Arial" w:eastAsia="黑体"/>
    </w:rPr>
  </w:style>
  <w:style w:type="character" w:default="1" w:styleId="7">
    <w:name w:val="Default Paragraph Font"/>
    <w:semiHidden/>
    <w:unhideWhenUsed/>
    <w:uiPriority w:val="1"/>
  </w:style>
  <w:style w:type="table" w:default="1" w:styleId="6">
    <w:name w:val="Normal Table"/>
    <w:semiHidden/>
    <w:unhideWhenUsed/>
    <w:uiPriority w:val="99"/>
    <w:tblPr>
      <w:tblCellMar>
        <w:top w:w="0" w:type="dxa"/>
        <w:left w:w="108" w:type="dxa"/>
        <w:bottom w:w="0" w:type="dxa"/>
        <w:right w:w="108" w:type="dxa"/>
      </w:tblCellMar>
    </w:tblPr>
  </w:style>
  <w:style w:type="paragraph" w:styleId="4">
    <w:name w:val="footer"/>
    <w:basedOn w:val="1"/>
    <w:link w:val="9"/>
    <w:unhideWhenUsed/>
    <w:qFormat/>
    <w:uiPriority w:val="99"/>
    <w:pPr>
      <w:tabs>
        <w:tab w:val="center" w:pos="4153"/>
        <w:tab w:val="right" w:pos="8306"/>
      </w:tabs>
      <w:snapToGrid w:val="0"/>
      <w:jc w:val="left"/>
    </w:pPr>
    <w:rPr>
      <w:sz w:val="18"/>
      <w:szCs w:val="18"/>
    </w:rPr>
  </w:style>
  <w:style w:type="paragraph" w:styleId="5">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8">
    <w:name w:val="页眉 字符"/>
    <w:basedOn w:val="7"/>
    <w:link w:val="5"/>
    <w:qFormat/>
    <w:uiPriority w:val="99"/>
    <w:rPr>
      <w:sz w:val="18"/>
      <w:szCs w:val="18"/>
    </w:rPr>
  </w:style>
  <w:style w:type="character" w:customStyle="1" w:styleId="9">
    <w:name w:val="页脚 字符"/>
    <w:basedOn w:val="7"/>
    <w:link w:val="4"/>
    <w:qFormat/>
    <w:uiPriority w:val="99"/>
    <w:rPr>
      <w:sz w:val="18"/>
      <w:szCs w:val="18"/>
    </w:rPr>
  </w:style>
  <w:style w:type="character" w:customStyle="1" w:styleId="10">
    <w:name w:val="标题 1 字符"/>
    <w:basedOn w:val="7"/>
    <w:link w:val="2"/>
    <w:uiPriority w:val="0"/>
    <w:rPr>
      <w:rFonts w:ascii="Times New Roman" w:hAnsi="Times New Roman" w:eastAsia="方正小标宋简体" w:cs="Times New Roman"/>
      <w:bCs/>
      <w:kern w:val="44"/>
      <w:sz w:val="44"/>
      <w:szCs w:val="44"/>
    </w:rPr>
  </w:style>
  <w:style w:type="character" w:customStyle="1" w:styleId="11">
    <w:name w:val="标题 2 字符"/>
    <w:basedOn w:val="7"/>
    <w:link w:val="3"/>
    <w:uiPriority w:val="0"/>
    <w:rPr>
      <w:rFonts w:ascii="Arial" w:hAnsi="Arial" w:eastAsia="黑体" w:cs="Times New Roman"/>
      <w:sz w:val="32"/>
      <w:szCs w:val="20"/>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9</Pages>
  <Words>519</Words>
  <Characters>2963</Characters>
  <Lines>24</Lines>
  <Paragraphs>6</Paragraphs>
  <TotalTime>12</TotalTime>
  <ScaleCrop>false</ScaleCrop>
  <LinksUpToDate>false</LinksUpToDate>
  <CharactersWithSpaces>3476</CharactersWithSpaces>
  <Application>WPS Office_11.1.0.9584_F1E327BC-269C-435d-A152-05C5408002CA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2019-12-20T08:01:00Z</dcterms:created>
  <dc:creator>陈 奎</dc:creator>
  <cp:lastModifiedBy>Administrator</cp:lastModifiedBy>
  <dcterms:modified xsi:type="dcterms:W3CDTF">2020-05-11T09:41:47Z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2052-11.1.0.9584</vt:lpwstr>
  </property>
</Properties>
</file>