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rPr>
          <w:rFonts w:ascii="黑体" w:hAnsi="黑体" w:eastAsia="黑体" w:cs="黑体"/>
          <w:sz w:val="52"/>
          <w:szCs w:val="52"/>
        </w:rPr>
      </w:pPr>
      <w:r>
        <w:rPr>
          <w:rFonts w:hint="eastAsia" w:ascii="黑体" w:hAnsi="黑体" w:eastAsia="黑体" w:cs="黑体"/>
          <w:sz w:val="52"/>
          <w:szCs w:val="52"/>
        </w:rPr>
        <w:t>20</w:t>
      </w:r>
      <w:r>
        <w:rPr>
          <w:rFonts w:hint="eastAsia" w:ascii="黑体" w:hAnsi="黑体" w:eastAsia="黑体" w:cs="黑体"/>
          <w:sz w:val="52"/>
          <w:szCs w:val="52"/>
          <w:lang w:val="en-US" w:eastAsia="zh-CN"/>
        </w:rPr>
        <w:t>20</w:t>
      </w:r>
      <w:r>
        <w:rPr>
          <w:rFonts w:hint="eastAsia" w:ascii="黑体" w:hAnsi="黑体" w:eastAsia="黑体" w:cs="黑体"/>
          <w:sz w:val="52"/>
          <w:szCs w:val="52"/>
        </w:rPr>
        <w:t>年度扶沟县残疾人联合会</w:t>
      </w:r>
    </w:p>
    <w:p>
      <w:pPr>
        <w:jc w:val="center"/>
        <w:rPr>
          <w:rFonts w:ascii="黑体" w:hAnsi="黑体" w:eastAsia="黑体" w:cs="黑体"/>
          <w:sz w:val="52"/>
          <w:szCs w:val="52"/>
        </w:rPr>
      </w:pPr>
      <w:r>
        <w:rPr>
          <w:rFonts w:hint="eastAsia" w:ascii="黑体" w:hAnsi="黑体" w:eastAsia="黑体" w:cs="黑体"/>
          <w:sz w:val="52"/>
          <w:szCs w:val="52"/>
        </w:rPr>
        <w:t>部门决算</w:t>
      </w: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w:t>
      </w:r>
      <w:r>
        <w:rPr>
          <w:rFonts w:hint="eastAsia" w:ascii="黑体" w:hAnsi="黑体" w:eastAsia="黑体" w:cs="黑体"/>
          <w:sz w:val="32"/>
          <w:szCs w:val="32"/>
          <w:lang w:val="en-US" w:eastAsia="zh-CN"/>
        </w:rPr>
        <w:t>一</w:t>
      </w:r>
      <w:r>
        <w:rPr>
          <w:rFonts w:hint="eastAsia" w:ascii="黑体" w:hAnsi="黑体" w:eastAsia="黑体" w:cs="黑体"/>
          <w:sz w:val="32"/>
          <w:szCs w:val="32"/>
        </w:rPr>
        <w:t>年十</w:t>
      </w:r>
      <w:r>
        <w:rPr>
          <w:rFonts w:hint="eastAsia" w:ascii="黑体" w:hAnsi="黑体" w:eastAsia="黑体" w:cs="黑体"/>
          <w:sz w:val="32"/>
          <w:szCs w:val="32"/>
          <w:lang w:val="en-US" w:eastAsia="zh-CN"/>
        </w:rPr>
        <w:t>二</w:t>
      </w:r>
      <w:r>
        <w:rPr>
          <w:rFonts w:hint="eastAsia" w:ascii="黑体" w:hAnsi="黑体" w:eastAsia="黑体" w:cs="黑体"/>
          <w:sz w:val="32"/>
          <w:szCs w:val="32"/>
        </w:rPr>
        <w:t>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扶沟县残疾人联合会概况</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pPr>
        <w:jc w:val="left"/>
        <w:rPr>
          <w:rFonts w:ascii="黑体" w:hAnsi="黑体" w:eastAsia="黑体" w:cs="黑体"/>
          <w:sz w:val="32"/>
          <w:szCs w:val="32"/>
        </w:rPr>
      </w:pPr>
      <w:r>
        <w:rPr>
          <w:rFonts w:hint="eastAsia" w:ascii="黑体" w:hAnsi="黑体" w:eastAsia="黑体" w:cs="黑体"/>
          <w:sz w:val="32"/>
          <w:szCs w:val="32"/>
        </w:rPr>
        <w:t>第二部分　　20</w:t>
      </w:r>
      <w:r>
        <w:rPr>
          <w:rFonts w:hint="eastAsia" w:ascii="黑体" w:hAnsi="黑体" w:eastAsia="黑体" w:cs="黑体"/>
          <w:sz w:val="32"/>
          <w:szCs w:val="32"/>
          <w:lang w:val="en-US" w:eastAsia="zh-CN"/>
        </w:rPr>
        <w:t>20</w:t>
      </w:r>
      <w:r>
        <w:rPr>
          <w:rFonts w:hint="eastAsia" w:ascii="黑体" w:hAnsi="黑体" w:eastAsia="黑体" w:cs="黑体"/>
          <w:sz w:val="32"/>
          <w:szCs w:val="32"/>
        </w:rPr>
        <w:t>年度部门决算表</w:t>
      </w:r>
    </w:p>
    <w:p>
      <w:pPr>
        <w:ind w:firstLine="640" w:firstLineChars="200"/>
        <w:jc w:val="left"/>
        <w:rPr>
          <w:rFonts w:ascii="宋体" w:hAnsi="宋体" w:cs="宋体"/>
          <w:sz w:val="32"/>
          <w:szCs w:val="32"/>
        </w:rPr>
      </w:pPr>
      <w:r>
        <w:rPr>
          <w:rFonts w:hint="eastAsia" w:ascii="宋体" w:hAnsi="宋体" w:cs="宋体"/>
          <w:sz w:val="32"/>
          <w:szCs w:val="32"/>
        </w:rPr>
        <w:t>一、收入支出决算总表</w:t>
      </w:r>
    </w:p>
    <w:p>
      <w:pPr>
        <w:ind w:firstLine="640" w:firstLineChars="200"/>
        <w:jc w:val="left"/>
        <w:rPr>
          <w:rFonts w:ascii="宋体" w:hAnsi="宋体" w:cs="宋体"/>
          <w:sz w:val="32"/>
          <w:szCs w:val="32"/>
        </w:rPr>
      </w:pPr>
      <w:r>
        <w:rPr>
          <w:rFonts w:hint="eastAsia" w:ascii="宋体" w:hAnsi="宋体" w:cs="宋体"/>
          <w:sz w:val="32"/>
          <w:szCs w:val="32"/>
        </w:rPr>
        <w:t>二、收入决算表</w:t>
      </w:r>
    </w:p>
    <w:p>
      <w:pPr>
        <w:ind w:firstLine="640" w:firstLineChars="200"/>
        <w:jc w:val="left"/>
        <w:rPr>
          <w:rFonts w:ascii="宋体" w:hAnsi="宋体" w:cs="宋体"/>
          <w:sz w:val="32"/>
          <w:szCs w:val="32"/>
        </w:rPr>
      </w:pPr>
      <w:r>
        <w:rPr>
          <w:rFonts w:hint="eastAsia" w:ascii="宋体" w:hAnsi="宋体" w:cs="宋体"/>
          <w:sz w:val="32"/>
          <w:szCs w:val="32"/>
        </w:rPr>
        <w:t>三、支出决算表</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四、财政拨款收入支出决算总表</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五、一般公共预算财政拨款支出决算表</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六、一般公共预算财政拨款基本支出决算表</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七、一般公共预算财政拨款“三公”经费支出决算表</w:t>
      </w:r>
    </w:p>
    <w:p>
      <w:pPr>
        <w:ind w:firstLine="640" w:firstLineChars="200"/>
        <w:jc w:val="left"/>
        <w:rPr>
          <w:rFonts w:ascii="宋体" w:hAnsi="宋体" w:cs="宋体"/>
          <w:sz w:val="32"/>
          <w:szCs w:val="32"/>
        </w:rPr>
      </w:pPr>
      <w:r>
        <w:rPr>
          <w:rFonts w:hint="eastAsia" w:ascii="宋体" w:hAnsi="宋体" w:cs="宋体"/>
          <w:sz w:val="32"/>
          <w:szCs w:val="32"/>
        </w:rPr>
        <w:t>八、政府性基金预算财政拨款收入支出决算表</w:t>
      </w:r>
    </w:p>
    <w:p>
      <w:pPr>
        <w:jc w:val="left"/>
        <w:rPr>
          <w:rFonts w:ascii="黑体" w:hAnsi="黑体" w:eastAsia="黑体" w:cs="黑体"/>
          <w:sz w:val="32"/>
          <w:szCs w:val="32"/>
        </w:rPr>
      </w:pPr>
      <w:r>
        <w:rPr>
          <w:rFonts w:hint="eastAsia" w:ascii="黑体" w:hAnsi="黑体" w:eastAsia="黑体" w:cs="黑体"/>
          <w:sz w:val="32"/>
          <w:szCs w:val="32"/>
        </w:rPr>
        <w:t>第三部分　　20</w:t>
      </w:r>
      <w:r>
        <w:rPr>
          <w:rFonts w:hint="eastAsia" w:ascii="黑体" w:hAnsi="黑体" w:eastAsia="黑体" w:cs="黑体"/>
          <w:sz w:val="32"/>
          <w:szCs w:val="32"/>
          <w:lang w:val="en-US" w:eastAsia="zh-CN"/>
        </w:rPr>
        <w:t>20</w:t>
      </w:r>
      <w:r>
        <w:rPr>
          <w:rFonts w:hint="eastAsia" w:ascii="黑体" w:hAnsi="黑体" w:eastAsia="黑体" w:cs="黑体"/>
          <w:sz w:val="32"/>
          <w:szCs w:val="32"/>
        </w:rPr>
        <w:t>年度部门决算情况说明</w:t>
      </w:r>
    </w:p>
    <w:p>
      <w:pPr>
        <w:ind w:firstLine="640" w:firstLineChars="200"/>
        <w:jc w:val="left"/>
        <w:rPr>
          <w:rFonts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二、收入决算情况说明</w:t>
      </w:r>
    </w:p>
    <w:p>
      <w:pPr>
        <w:ind w:firstLine="640" w:firstLineChars="200"/>
        <w:jc w:val="left"/>
        <w:rPr>
          <w:rFonts w:ascii="宋体" w:hAnsi="宋体" w:cs="宋体"/>
          <w:sz w:val="32"/>
          <w:szCs w:val="32"/>
        </w:rPr>
      </w:pPr>
      <w:r>
        <w:rPr>
          <w:rFonts w:hint="eastAsia" w:ascii="宋体" w:hAnsi="宋体" w:cs="宋体"/>
          <w:sz w:val="32"/>
          <w:szCs w:val="32"/>
        </w:rPr>
        <w:t>三、支出决算情况说明</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七、一般公共预算财政拨款“三公”经费支出决算情况说明</w:t>
      </w:r>
    </w:p>
    <w:p>
      <w:pPr>
        <w:ind w:firstLine="640" w:firstLineChars="200"/>
        <w:jc w:val="left"/>
        <w:rPr>
          <w:rFonts w:ascii="宋体" w:hAnsi="宋体" w:cs="宋体"/>
          <w:sz w:val="32"/>
          <w:szCs w:val="32"/>
        </w:rPr>
      </w:pPr>
      <w:r>
        <w:rPr>
          <w:rFonts w:hint="eastAsia" w:ascii="宋体" w:hAnsi="宋体" w:cs="宋体"/>
          <w:sz w:val="32"/>
          <w:szCs w:val="32"/>
        </w:rPr>
        <w:t>八、预算绩效情况说明</w:t>
      </w:r>
    </w:p>
    <w:p>
      <w:pPr>
        <w:ind w:firstLine="640" w:firstLineChars="200"/>
        <w:jc w:val="left"/>
        <w:rPr>
          <w:rFonts w:ascii="宋体" w:hAnsi="宋体" w:cs="宋体"/>
          <w:sz w:val="32"/>
          <w:szCs w:val="32"/>
        </w:rPr>
      </w:pPr>
      <w:r>
        <w:rPr>
          <w:rFonts w:hint="eastAsia" w:ascii="宋体" w:hAnsi="宋体" w:cs="宋体"/>
          <w:sz w:val="32"/>
          <w:szCs w:val="32"/>
        </w:rPr>
        <w:t>九、政府性基金预算财政拨款支出决算情况说明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jc w:val="left"/>
        <w:rPr>
          <w:rFonts w:ascii="黑体" w:hAnsi="黑体" w:eastAsia="黑体" w:cs="黑体"/>
          <w:sz w:val="32"/>
          <w:szCs w:val="32"/>
        </w:rPr>
      </w:pPr>
      <w:r>
        <w:rPr>
          <w:rFonts w:hint="eastAsia" w:ascii="黑体" w:hAnsi="黑体" w:eastAsia="黑体" w:cs="黑体"/>
          <w:sz w:val="32"/>
          <w:szCs w:val="32"/>
        </w:rPr>
        <w:t>第四部分　　名词解释</w:t>
      </w:r>
    </w:p>
    <w:p>
      <w:pPr>
        <w:ind w:firstLine="640" w:firstLineChars="200"/>
        <w:jc w:val="left"/>
        <w:rPr>
          <w:rFonts w:ascii="宋体" w:hAnsi="宋体" w:cs="宋体"/>
          <w:sz w:val="32"/>
          <w:szCs w:val="32"/>
        </w:rPr>
      </w:pPr>
    </w:p>
    <w:p>
      <w:pPr>
        <w:jc w:val="left"/>
        <w:rPr>
          <w:rFonts w:ascii="黑体" w:hAnsi="黑体" w:eastAsia="黑体" w:cs="黑体"/>
          <w:sz w:val="32"/>
          <w:szCs w:val="32"/>
        </w:rPr>
        <w:sectPr>
          <w:footerReference r:id="rId3" w:type="default"/>
          <w:footerReference r:id="rId4" w:type="even"/>
          <w:pgSz w:w="11906" w:h="16838"/>
          <w:pgMar w:top="1440" w:right="1531" w:bottom="1440" w:left="1587" w:header="850" w:footer="992" w:gutter="0"/>
          <w:pgNumType w:fmt="numberInDash" w:start="1"/>
          <w:cols w:space="720" w:num="1"/>
          <w:docGrid w:type="lines" w:linePitch="317"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center"/>
        <w:outlineLvl w:val="0"/>
        <w:rPr>
          <w:rFonts w:ascii="黑体" w:hAnsi="宋体" w:eastAsia="黑体" w:cs="宋体"/>
          <w:kern w:val="0"/>
          <w:sz w:val="28"/>
          <w:szCs w:val="28"/>
        </w:rPr>
      </w:pPr>
      <w:r>
        <w:rPr>
          <w:rFonts w:hint="eastAsia" w:ascii="黑体" w:hAnsi="黑体" w:eastAsia="黑体" w:cs="黑体"/>
          <w:sz w:val="48"/>
          <w:szCs w:val="48"/>
        </w:rPr>
        <w:t>第一部分  扶沟县残疾人联合会概况</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idowControl/>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（一）贯彻执行国家、省、市、县有关残疾人工作的法律、法规和方针政策；听取残疾人意见，反映残疾人需求，维护残疾人权益，为残疾人服务。</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（二）团结、教育残疾人遵守法律，履行应尽义务，发扬乐观进取精神，自尊、自信、自强、自立，为社会主义建设贡献力量。</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（三）弘扬人道主义，宣传残疾人事业，沟通政府、社会与残疾人之间的联系，动员社会理解、尊重、关心、帮助残疾人。</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（四）组织开展残疾人康复、教育、劳动就业、扶贫、福利、文化、体育、用品供应、社会服务、无障碍设施建设和残疾预防工作，创造良好的环境和条件，扶助残疾人平等参与社会生活。</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（五）协助政府研究和制订残疾人事业发展的政策、规划和计划，并组织实施和监督检查，对有关业务范围内的工作进行指导和管理。</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（六）指导和管理县直各类残疾人社团组织。</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（七）指导、督促和检查各镇、中心基层残联工作，开展地区间残疾人工作的交流与合作。</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（八）承担县政府残疾人工作委员会的日常工作，做好综合、组织、协调和服务。</w:t>
      </w:r>
    </w:p>
    <w:p>
      <w:pPr>
        <w:keepNext w:val="0"/>
        <w:keepLines w:val="0"/>
        <w:pageBreakBefore w:val="0"/>
        <w:widowControl w:val="0"/>
        <w:kinsoku/>
        <w:wordWrap/>
        <w:overflowPunct/>
        <w:topLinePunct w:val="0"/>
        <w:autoSpaceDE w:val="0"/>
        <w:autoSpaceDN w:val="0"/>
        <w:bidi w:val="0"/>
        <w:adjustRightInd w:val="0"/>
        <w:snapToGrid/>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（九）开展残疾评定，发放和管理残疾人证，开展残疾人能力评估。</w:t>
      </w:r>
    </w:p>
    <w:p>
      <w:pPr>
        <w:keepNext w:val="0"/>
        <w:keepLines w:val="0"/>
        <w:pageBreakBefore w:val="0"/>
        <w:widowControl w:val="0"/>
        <w:kinsoku/>
        <w:wordWrap/>
        <w:overflowPunct/>
        <w:topLinePunct w:val="0"/>
        <w:bidi w:val="0"/>
        <w:snapToGrid/>
        <w:spacing w:line="600" w:lineRule="exact"/>
        <w:ind w:firstLine="640" w:firstLineChars="200"/>
        <w:jc w:val="left"/>
        <w:textAlignment w:val="auto"/>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（十）承担县委、县政府交办的其他工作。</w:t>
      </w:r>
    </w:p>
    <w:p>
      <w:pPr>
        <w:widowControl/>
        <w:ind w:firstLine="640" w:firstLineChars="200"/>
        <w:jc w:val="left"/>
        <w:outlineLvl w:val="1"/>
        <w:rPr>
          <w:rFonts w:ascii="黑体" w:hAnsi="黑体" w:eastAsia="黑体" w:cs="黑体"/>
          <w:kern w:val="0"/>
          <w:sz w:val="32"/>
          <w:szCs w:val="32"/>
        </w:rPr>
      </w:pPr>
      <w:r>
        <w:rPr>
          <w:rFonts w:hint="eastAsia" w:ascii="黑体" w:hAnsi="黑体" w:eastAsia="黑体" w:cs="黑体"/>
          <w:kern w:val="0"/>
          <w:sz w:val="32"/>
          <w:szCs w:val="32"/>
        </w:rPr>
        <w:t>二、机构设置</w:t>
      </w:r>
    </w:p>
    <w:p>
      <w:pPr>
        <w:keepNext w:val="0"/>
        <w:keepLines w:val="0"/>
        <w:pageBreakBefore w:val="0"/>
        <w:kinsoku/>
        <w:wordWrap/>
        <w:overflowPunct/>
        <w:topLinePunct w:val="0"/>
        <w:autoSpaceDE w:val="0"/>
        <w:autoSpaceDN w:val="0"/>
        <w:bidi w:val="0"/>
        <w:adjustRightInd w:val="0"/>
        <w:snapToGrid/>
        <w:ind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扶沟县残疾人联合会内设机构4个，包括：办公室、康复部、组联部、教就部。</w:t>
      </w:r>
      <w:r>
        <w:rPr>
          <w:rFonts w:hint="eastAsia" w:ascii="仿宋_GB2312" w:hAnsi="仿宋_GB2312" w:eastAsia="仿宋_GB2312" w:cs="仿宋_GB2312"/>
          <w:kern w:val="0"/>
          <w:sz w:val="32"/>
          <w:szCs w:val="32"/>
          <w:lang w:eastAsia="zh-CN"/>
        </w:rPr>
        <w:t>另</w:t>
      </w:r>
      <w:r>
        <w:rPr>
          <w:rFonts w:hint="eastAsia" w:ascii="仿宋_GB2312" w:hAnsi="仿宋_GB2312" w:eastAsia="仿宋_GB2312" w:cs="仿宋_GB2312"/>
          <w:kern w:val="0"/>
          <w:sz w:val="32"/>
          <w:szCs w:val="32"/>
        </w:rPr>
        <w:t>设</w:t>
      </w:r>
      <w:r>
        <w:rPr>
          <w:rFonts w:hint="eastAsia" w:ascii="仿宋_GB2312" w:hAnsi="仿宋_GB2312" w:eastAsia="仿宋_GB2312" w:cs="仿宋_GB2312"/>
          <w:kern w:val="0"/>
          <w:sz w:val="32"/>
          <w:szCs w:val="32"/>
          <w:lang w:eastAsia="zh-CN"/>
        </w:rPr>
        <w:t>有</w:t>
      </w:r>
      <w:r>
        <w:rPr>
          <w:rFonts w:hint="eastAsia" w:ascii="仿宋_GB2312" w:hAnsi="仿宋_GB2312" w:eastAsia="仿宋_GB2312" w:cs="仿宋_GB2312"/>
          <w:kern w:val="0"/>
          <w:sz w:val="32"/>
          <w:szCs w:val="32"/>
        </w:rPr>
        <w:t>扶沟县残疾人就业服务所和扶沟县残疾人康复服务指导站。</w:t>
      </w:r>
    </w:p>
    <w:p>
      <w:pPr>
        <w:keepNext w:val="0"/>
        <w:keepLines w:val="0"/>
        <w:pageBreakBefore w:val="0"/>
        <w:widowControl/>
        <w:kinsoku/>
        <w:wordWrap/>
        <w:overflowPunct/>
        <w:topLinePunct w:val="0"/>
        <w:bidi w:val="0"/>
        <w:snapToGrid/>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从决算单位构成看，</w:t>
      </w:r>
      <w:r>
        <w:rPr>
          <w:rFonts w:hint="eastAsia" w:ascii="仿宋_GB2312" w:hAnsi="仿宋_GB2312" w:eastAsia="仿宋_GB2312" w:cs="仿宋_GB2312"/>
          <w:kern w:val="0"/>
          <w:sz w:val="32"/>
          <w:szCs w:val="32"/>
        </w:rPr>
        <w:t>扶沟县残疾人联合会</w:t>
      </w:r>
      <w:r>
        <w:rPr>
          <w:rFonts w:hint="eastAsia" w:ascii="仿宋_GB2312" w:hAnsi="仿宋_GB2312" w:eastAsia="仿宋_GB2312" w:cs="仿宋_GB2312"/>
          <w:color w:val="auto"/>
          <w:kern w:val="0"/>
          <w:sz w:val="32"/>
          <w:szCs w:val="32"/>
          <w:highlight w:val="none"/>
          <w:lang w:val="en-US" w:eastAsia="zh-CN"/>
        </w:rPr>
        <w:t>部门决算包括：本级决算、所属单位决算。</w:t>
      </w:r>
    </w:p>
    <w:p>
      <w:pPr>
        <w:widowControl/>
        <w:ind w:firstLine="640" w:firstLineChars="200"/>
        <w:jc w:val="left"/>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纳入本部门2020年度部门决算编制范围的单位共1个，具体是：</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扶沟县残疾人联合会</w:t>
      </w:r>
    </w:p>
    <w:p>
      <w:pPr>
        <w:keepNext w:val="0"/>
        <w:keepLines w:val="0"/>
        <w:pageBreakBefore w:val="0"/>
        <w:widowControl/>
        <w:kinsoku/>
        <w:wordWrap/>
        <w:overflowPunct/>
        <w:topLinePunct w:val="0"/>
        <w:bidi w:val="0"/>
        <w:snapToGrid/>
        <w:ind w:firstLine="640" w:firstLineChars="200"/>
        <w:jc w:val="left"/>
        <w:textAlignment w:val="auto"/>
        <w:rPr>
          <w:rFonts w:hint="eastAsia" w:ascii="仿宋_GB2312" w:hAnsi="仿宋_GB2312" w:eastAsia="仿宋_GB2312" w:cs="仿宋_GB2312"/>
          <w:color w:val="auto"/>
          <w:kern w:val="0"/>
          <w:sz w:val="32"/>
          <w:szCs w:val="32"/>
          <w:highlight w:val="none"/>
          <w:lang w:val="en-US" w:eastAsia="zh-CN"/>
        </w:rPr>
        <w:sectPr>
          <w:pgSz w:w="11906" w:h="16838"/>
          <w:pgMar w:top="1440" w:right="1800" w:bottom="1440" w:left="180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第二部分  20</w:t>
      </w:r>
      <w:r>
        <w:rPr>
          <w:rFonts w:hint="eastAsia" w:ascii="黑体" w:hAnsi="黑体" w:eastAsia="黑体" w:cs="黑体"/>
          <w:sz w:val="48"/>
          <w:szCs w:val="48"/>
          <w:lang w:val="en-US" w:eastAsia="zh-CN"/>
        </w:rPr>
        <w:t>20</w:t>
      </w:r>
      <w:r>
        <w:rPr>
          <w:rFonts w:hint="eastAsia" w:ascii="黑体" w:hAnsi="黑体" w:eastAsia="黑体" w:cs="黑体"/>
          <w:sz w:val="48"/>
          <w:szCs w:val="48"/>
        </w:rPr>
        <w:t>年度部门决算表</w:t>
      </w: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ascii="黑体" w:hAnsi="黑体" w:eastAsia="黑体" w:cs="黑体"/>
          <w:sz w:val="30"/>
          <w:szCs w:val="30"/>
        </w:rPr>
      </w:pPr>
      <w:r>
        <w:rPr>
          <w:rFonts w:hint="eastAsia" w:ascii="黑体" w:hAnsi="黑体" w:eastAsia="黑体" w:cs="黑体"/>
          <w:sz w:val="30"/>
          <w:szCs w:val="30"/>
        </w:rPr>
        <w:t>（附决算公开表）</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numPr>
          <w:ilvl w:val="0"/>
          <w:numId w:val="2"/>
        </w:numPr>
        <w:jc w:val="center"/>
        <w:outlineLvl w:val="0"/>
        <w:rPr>
          <w:rFonts w:ascii="黑体" w:hAnsi="黑体" w:eastAsia="黑体" w:cs="黑体"/>
          <w:sz w:val="48"/>
          <w:szCs w:val="48"/>
        </w:rPr>
      </w:pPr>
    </w:p>
    <w:p>
      <w:pPr>
        <w:numPr>
          <w:ilvl w:val="0"/>
          <w:numId w:val="0"/>
        </w:numPr>
        <w:jc w:val="both"/>
        <w:outlineLvl w:val="0"/>
        <w:rPr>
          <w:rFonts w:ascii="黑体" w:hAnsi="黑体" w:eastAsia="黑体" w:cs="黑体"/>
          <w:sz w:val="48"/>
          <w:szCs w:val="48"/>
        </w:rPr>
      </w:pPr>
      <w:r>
        <w:rPr>
          <w:rFonts w:hint="eastAsia" w:ascii="黑体" w:hAnsi="黑体" w:eastAsia="黑体" w:cs="黑体"/>
          <w:sz w:val="48"/>
          <w:szCs w:val="48"/>
        </w:rPr>
        <w:t xml:space="preserve"> </w:t>
      </w:r>
    </w:p>
    <w:p>
      <w:pPr>
        <w:numPr>
          <w:ilvl w:val="0"/>
          <w:numId w:val="0"/>
        </w:numPr>
        <w:ind w:firstLine="960" w:firstLineChars="200"/>
        <w:jc w:val="both"/>
        <w:outlineLvl w:val="0"/>
        <w:rPr>
          <w:rFonts w:ascii="黑体" w:hAnsi="黑体" w:eastAsia="黑体" w:cs="黑体"/>
          <w:sz w:val="48"/>
          <w:szCs w:val="48"/>
        </w:rPr>
      </w:pPr>
      <w:r>
        <w:rPr>
          <w:rFonts w:hint="eastAsia" w:ascii="黑体" w:hAnsi="黑体" w:eastAsia="黑体" w:cs="黑体"/>
          <w:sz w:val="48"/>
          <w:szCs w:val="48"/>
        </w:rPr>
        <w:t>20</w:t>
      </w:r>
      <w:r>
        <w:rPr>
          <w:rFonts w:hint="eastAsia" w:ascii="黑体" w:hAnsi="黑体" w:eastAsia="黑体" w:cs="黑体"/>
          <w:sz w:val="48"/>
          <w:szCs w:val="48"/>
          <w:lang w:val="en-US" w:eastAsia="zh-CN"/>
        </w:rPr>
        <w:t>20</w:t>
      </w:r>
      <w:r>
        <w:rPr>
          <w:rFonts w:hint="eastAsia" w:ascii="黑体" w:hAnsi="黑体" w:eastAsia="黑体" w:cs="黑体"/>
          <w:sz w:val="48"/>
          <w:szCs w:val="48"/>
        </w:rPr>
        <w:t>年度部门决算情况说明</w:t>
      </w:r>
    </w:p>
    <w:p>
      <w:pPr>
        <w:widowControl/>
        <w:jc w:val="left"/>
        <w:rPr>
          <w:rFonts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一、收入支出决算总体情况说明</w:t>
      </w:r>
    </w:p>
    <w:p>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544.22</w:t>
      </w:r>
      <w:r>
        <w:rPr>
          <w:rFonts w:hint="eastAsia" w:ascii="仿宋_GB2312" w:hAnsi="仿宋_GB2312" w:eastAsia="仿宋_GB2312" w:cs="仿宋_GB2312"/>
          <w:sz w:val="32"/>
          <w:szCs w:val="32"/>
        </w:rPr>
        <w:t>万元。与上年度相比，收、支总计各增加</w:t>
      </w:r>
      <w:r>
        <w:rPr>
          <w:rFonts w:hint="eastAsia" w:ascii="仿宋_GB2312" w:hAnsi="仿宋_GB2312" w:eastAsia="仿宋_GB2312" w:cs="仿宋_GB2312"/>
          <w:sz w:val="32"/>
          <w:szCs w:val="32"/>
          <w:lang w:val="en-US" w:eastAsia="zh-CN"/>
        </w:rPr>
        <w:t>213.64</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64.6</w:t>
      </w:r>
      <w:r>
        <w:rPr>
          <w:rFonts w:hint="eastAsia" w:ascii="仿宋_GB2312" w:hAnsi="仿宋_GB2312" w:eastAsia="仿宋_GB2312" w:cs="仿宋_GB2312"/>
          <w:sz w:val="32"/>
          <w:szCs w:val="32"/>
        </w:rPr>
        <w:t>%。主要原因是人员工资上调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康复设备轮椅购买，</w:t>
      </w:r>
      <w:r>
        <w:rPr>
          <w:rFonts w:hint="eastAsia" w:ascii="仿宋_GB2312" w:hAnsi="仿宋_GB2312" w:eastAsia="仿宋_GB2312" w:cs="仿宋_GB2312"/>
          <w:sz w:val="32"/>
          <w:szCs w:val="32"/>
        </w:rPr>
        <w:t>统筹整合贫困重度残疾人家庭无障碍实施改造项目。</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二、收入决算情况说明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度收入合计</w:t>
      </w:r>
      <w:r>
        <w:rPr>
          <w:rFonts w:hint="eastAsia" w:ascii="仿宋_GB2312" w:hAnsi="仿宋_GB2312" w:eastAsia="仿宋_GB2312" w:cs="仿宋_GB2312"/>
          <w:sz w:val="32"/>
          <w:szCs w:val="32"/>
          <w:lang w:val="en-US" w:eastAsia="zh-CN"/>
        </w:rPr>
        <w:t>544.22</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544.22</w:t>
      </w:r>
      <w:r>
        <w:rPr>
          <w:rFonts w:hint="eastAsia" w:ascii="仿宋_GB2312" w:hAnsi="仿宋_GB2312" w:eastAsia="仿宋_GB2312" w:cs="仿宋_GB2312"/>
          <w:sz w:val="32"/>
          <w:szCs w:val="32"/>
        </w:rPr>
        <w:t>万元，占100%。</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三、支出决算情况说明</w:t>
      </w:r>
    </w:p>
    <w:p>
      <w:pPr>
        <w:widowControl/>
        <w:spacing w:line="59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度支出合计</w:t>
      </w:r>
      <w:r>
        <w:rPr>
          <w:rFonts w:hint="eastAsia" w:ascii="仿宋_GB2312" w:hAnsi="仿宋_GB2312" w:eastAsia="仿宋_GB2312" w:cs="仿宋_GB2312"/>
          <w:sz w:val="32"/>
          <w:szCs w:val="32"/>
          <w:lang w:val="en-US" w:eastAsia="zh-CN"/>
        </w:rPr>
        <w:t>544.22</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503.58</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92.5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项目支出40.64万元，占7.5%。</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四、财政拨款收入支出决算总体情况说明</w:t>
      </w:r>
    </w:p>
    <w:p>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544.22</w:t>
      </w:r>
      <w:r>
        <w:rPr>
          <w:rFonts w:hint="eastAsia" w:ascii="仿宋_GB2312" w:hAnsi="仿宋_GB2312" w:eastAsia="仿宋_GB2312" w:cs="仿宋_GB2312"/>
          <w:sz w:val="32"/>
          <w:szCs w:val="32"/>
        </w:rPr>
        <w:t>万元。与上年度相比，财政拨款收、支总计各增加</w:t>
      </w:r>
      <w:r>
        <w:rPr>
          <w:rFonts w:hint="eastAsia" w:ascii="仿宋_GB2312" w:hAnsi="仿宋_GB2312" w:eastAsia="仿宋_GB2312" w:cs="仿宋_GB2312"/>
          <w:sz w:val="32"/>
          <w:szCs w:val="32"/>
          <w:lang w:val="en-US" w:eastAsia="zh-CN"/>
        </w:rPr>
        <w:t>213.64</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64.6</w:t>
      </w:r>
      <w:r>
        <w:rPr>
          <w:rFonts w:hint="eastAsia" w:ascii="仿宋_GB2312" w:hAnsi="仿宋_GB2312" w:eastAsia="仿宋_GB2312" w:cs="仿宋_GB2312"/>
          <w:sz w:val="32"/>
          <w:szCs w:val="32"/>
        </w:rPr>
        <w:t>%。主要原因是人员工资上调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康复设备轮椅购买，</w:t>
      </w:r>
      <w:r>
        <w:rPr>
          <w:rFonts w:hint="eastAsia" w:ascii="仿宋_GB2312" w:hAnsi="仿宋_GB2312" w:eastAsia="仿宋_GB2312" w:cs="仿宋_GB2312"/>
          <w:sz w:val="32"/>
          <w:szCs w:val="32"/>
        </w:rPr>
        <w:t>统筹整合贫困重度残疾人家庭无障碍实施改造项目。</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五、一般公共预算财政拨款支出决算情况说明</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spacing w:line="590" w:lineRule="exact"/>
        <w:ind w:firstLine="640" w:firstLineChars="200"/>
        <w:rPr>
          <w:rFonts w:hint="eastAsia" w:ascii="仿宋_GB2312" w:hAnsi="仿宋_GB2312" w:eastAsia="仿宋_GB2312" w:cs="仿宋_GB2312"/>
          <w:sz w:val="32"/>
          <w:szCs w:val="32"/>
          <w:highlight w:val="red"/>
          <w:lang w:eastAsia="zh-CN"/>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度一般公共预算财政拨款支出</w:t>
      </w:r>
      <w:r>
        <w:rPr>
          <w:rFonts w:hint="eastAsia" w:ascii="仿宋_GB2312" w:hAnsi="仿宋_GB2312" w:eastAsia="仿宋_GB2312" w:cs="仿宋_GB2312"/>
          <w:sz w:val="32"/>
          <w:szCs w:val="32"/>
          <w:lang w:val="en-US" w:eastAsia="zh-CN"/>
        </w:rPr>
        <w:t>446.81</w:t>
      </w:r>
      <w:r>
        <w:rPr>
          <w:rFonts w:hint="eastAsia" w:ascii="仿宋_GB2312" w:hAnsi="仿宋_GB2312" w:eastAsia="仿宋_GB2312" w:cs="仿宋_GB2312"/>
          <w:sz w:val="32"/>
          <w:szCs w:val="32"/>
        </w:rPr>
        <w:t>万元，占本年支出合计的</w:t>
      </w:r>
      <w:r>
        <w:rPr>
          <w:rFonts w:hint="eastAsia" w:ascii="仿宋_GB2312" w:hAnsi="仿宋_GB2312" w:eastAsia="仿宋_GB2312" w:cs="仿宋_GB2312"/>
          <w:sz w:val="32"/>
          <w:szCs w:val="32"/>
          <w:lang w:val="en-US" w:eastAsia="zh-CN"/>
        </w:rPr>
        <w:t>82.1</w:t>
      </w:r>
      <w:r>
        <w:rPr>
          <w:rFonts w:hint="eastAsia" w:ascii="仿宋_GB2312" w:hAnsi="仿宋_GB2312" w:eastAsia="仿宋_GB2312" w:cs="仿宋_GB2312"/>
          <w:sz w:val="32"/>
          <w:szCs w:val="32"/>
        </w:rPr>
        <w:t>%。与上年度相比，一般公共预算财政拨款支出</w:t>
      </w:r>
      <w:r>
        <w:rPr>
          <w:rFonts w:hint="eastAsia" w:ascii="仿宋_GB2312" w:hAnsi="仿宋_GB2312" w:eastAsia="仿宋_GB2312" w:cs="仿宋_GB2312"/>
          <w:sz w:val="32"/>
          <w:szCs w:val="32"/>
          <w:lang w:val="en-US" w:eastAsia="zh-CN"/>
        </w:rPr>
        <w:t>增加116.23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增长35.1</w:t>
      </w:r>
      <w:r>
        <w:rPr>
          <w:rFonts w:hint="eastAsia" w:ascii="仿宋_GB2312" w:hAnsi="仿宋_GB2312" w:eastAsia="仿宋_GB2312" w:cs="仿宋_GB2312"/>
          <w:sz w:val="32"/>
          <w:szCs w:val="32"/>
        </w:rPr>
        <w:t>%。主要原因是人员工资上调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康复设备轮椅购买，</w:t>
      </w:r>
      <w:r>
        <w:rPr>
          <w:rFonts w:hint="eastAsia" w:ascii="仿宋_GB2312" w:hAnsi="仿宋_GB2312" w:eastAsia="仿宋_GB2312" w:cs="仿宋_GB2312"/>
          <w:sz w:val="32"/>
          <w:szCs w:val="32"/>
        </w:rPr>
        <w:t>统筹整合贫困重度残疾人家庭无障碍实施改造项目</w:t>
      </w:r>
      <w:r>
        <w:rPr>
          <w:rFonts w:hint="eastAsia" w:ascii="仿宋_GB2312" w:hAnsi="仿宋_GB2312" w:eastAsia="仿宋_GB2312" w:cs="仿宋_GB2312"/>
          <w:sz w:val="32"/>
          <w:szCs w:val="32"/>
          <w:lang w:eastAsia="zh-CN"/>
        </w:rPr>
        <w:t>。</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度一般公共预算财政拨款支出</w:t>
      </w:r>
      <w:r>
        <w:rPr>
          <w:rFonts w:hint="eastAsia" w:ascii="仿宋_GB2312" w:hAnsi="仿宋_GB2312" w:eastAsia="仿宋_GB2312" w:cs="仿宋_GB2312"/>
          <w:sz w:val="32"/>
          <w:szCs w:val="32"/>
          <w:lang w:val="en-US" w:eastAsia="zh-CN"/>
        </w:rPr>
        <w:t>446.81</w:t>
      </w:r>
      <w:r>
        <w:rPr>
          <w:rFonts w:hint="eastAsia" w:ascii="仿宋_GB2312" w:hAnsi="仿宋_GB2312" w:eastAsia="仿宋_GB2312" w:cs="仿宋_GB2312"/>
          <w:sz w:val="32"/>
          <w:szCs w:val="32"/>
        </w:rPr>
        <w:t>万元，主要用于以下方面：社会保障和就业（类）支出</w:t>
      </w:r>
      <w:r>
        <w:rPr>
          <w:rFonts w:hint="eastAsia" w:ascii="仿宋_GB2312" w:hAnsi="仿宋_GB2312" w:eastAsia="仿宋_GB2312" w:cs="仿宋_GB2312"/>
          <w:sz w:val="32"/>
          <w:szCs w:val="32"/>
          <w:lang w:val="en-US" w:eastAsia="zh-CN"/>
        </w:rPr>
        <w:t>386.66</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86.5</w:t>
      </w:r>
      <w:r>
        <w:rPr>
          <w:rFonts w:hint="eastAsia" w:ascii="仿宋_GB2312" w:hAnsi="仿宋_GB2312" w:eastAsia="仿宋_GB2312" w:cs="仿宋_GB2312"/>
          <w:sz w:val="32"/>
          <w:szCs w:val="32"/>
        </w:rPr>
        <w:t>%；卫生健康（类）支出10.</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农林水（类)支出40.64万元，占9.1%；</w:t>
      </w:r>
      <w:r>
        <w:rPr>
          <w:rFonts w:hint="eastAsia" w:ascii="仿宋_GB2312" w:hAnsi="仿宋_GB2312" w:eastAsia="仿宋_GB2312" w:cs="仿宋_GB2312"/>
          <w:sz w:val="32"/>
          <w:szCs w:val="32"/>
        </w:rPr>
        <w:t>住房保障（类）支出8.</w:t>
      </w:r>
      <w:r>
        <w:rPr>
          <w:rFonts w:hint="eastAsia" w:ascii="仿宋_GB2312" w:hAnsi="仿宋_GB2312" w:eastAsia="仿宋_GB2312" w:cs="仿宋_GB2312"/>
          <w:sz w:val="32"/>
          <w:szCs w:val="32"/>
          <w:lang w:val="en-US" w:eastAsia="zh-CN"/>
        </w:rPr>
        <w:t>71</w:t>
      </w:r>
      <w:r>
        <w:rPr>
          <w:rFonts w:hint="eastAsia" w:ascii="仿宋_GB2312" w:hAnsi="仿宋_GB2312" w:eastAsia="仿宋_GB2312" w:cs="仿宋_GB2312"/>
          <w:sz w:val="32"/>
          <w:szCs w:val="32"/>
        </w:rPr>
        <w:t>万元，占2%。</w:t>
      </w:r>
    </w:p>
    <w:p>
      <w:pPr>
        <w:widowControl/>
        <w:spacing w:line="59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度一般公共预算财政拨款支出年初预算为</w:t>
      </w:r>
      <w:r>
        <w:rPr>
          <w:rFonts w:hint="eastAsia" w:ascii="仿宋_GB2312" w:hAnsi="仿宋_GB2312" w:eastAsia="仿宋_GB2312" w:cs="仿宋_GB2312"/>
          <w:sz w:val="32"/>
          <w:szCs w:val="32"/>
          <w:lang w:val="en-US" w:eastAsia="zh-CN"/>
        </w:rPr>
        <w:t>374.44</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446.81</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119.3</w:t>
      </w:r>
      <w:r>
        <w:rPr>
          <w:rFonts w:hint="eastAsia" w:ascii="仿宋_GB2312" w:hAnsi="仿宋_GB2312" w:eastAsia="仿宋_GB2312" w:cs="仿宋_GB2312"/>
          <w:sz w:val="32"/>
          <w:szCs w:val="32"/>
        </w:rPr>
        <w:t>%。其中：</w:t>
      </w:r>
      <w:bookmarkStart w:id="0" w:name="_GoBack"/>
      <w:bookmarkEnd w:id="0"/>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1．社会保障和就业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（类）行政事业单位</w:t>
      </w:r>
      <w:r>
        <w:rPr>
          <w:rFonts w:hint="eastAsia" w:ascii="仿宋_GB2312" w:hAnsi="仿宋_GB2312" w:eastAsia="仿宋_GB2312" w:cs="仿宋_GB2312"/>
          <w:b/>
          <w:bCs/>
          <w:sz w:val="32"/>
          <w:szCs w:val="32"/>
          <w:lang w:val="en-US" w:eastAsia="zh-CN"/>
        </w:rPr>
        <w:t>养老支出</w:t>
      </w:r>
      <w:r>
        <w:rPr>
          <w:rFonts w:hint="eastAsia" w:ascii="仿宋_GB2312" w:hAnsi="仿宋_GB2312" w:eastAsia="仿宋_GB2312" w:cs="仿宋_GB2312"/>
          <w:b/>
          <w:bCs/>
          <w:sz w:val="32"/>
          <w:szCs w:val="32"/>
        </w:rPr>
        <w:t>（款）行政单位离退休（项）。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0.31</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0.31</w:t>
      </w:r>
      <w:r>
        <w:rPr>
          <w:rFonts w:hint="eastAsia" w:ascii="仿宋_GB2312" w:hAnsi="仿宋_GB2312" w:eastAsia="仿宋_GB2312" w:cs="仿宋_GB2312"/>
          <w:sz w:val="32"/>
          <w:szCs w:val="32"/>
        </w:rPr>
        <w:t>万元, 完成年初预算的1</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 xml:space="preserve"> %。</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（类）行政事业单位</w:t>
      </w:r>
      <w:r>
        <w:rPr>
          <w:rFonts w:hint="eastAsia" w:ascii="仿宋_GB2312" w:hAnsi="仿宋_GB2312" w:eastAsia="仿宋_GB2312" w:cs="仿宋_GB2312"/>
          <w:b/>
          <w:bCs/>
          <w:sz w:val="32"/>
          <w:szCs w:val="32"/>
          <w:lang w:val="en-US" w:eastAsia="zh-CN"/>
        </w:rPr>
        <w:t>养老支出</w:t>
      </w:r>
      <w:r>
        <w:rPr>
          <w:rFonts w:hint="eastAsia" w:ascii="仿宋_GB2312" w:hAnsi="仿宋_GB2312" w:eastAsia="仿宋_GB2312" w:cs="仿宋_GB2312"/>
          <w:b/>
          <w:bCs/>
          <w:sz w:val="32"/>
          <w:szCs w:val="32"/>
        </w:rPr>
        <w:t>（款）机关事业单位基本养老保险缴费支出（项）。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16.52</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16.52</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（类）抚恤（款）死亡抚恤（项）。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2.93</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2.93</w:t>
      </w:r>
      <w:r>
        <w:rPr>
          <w:rFonts w:hint="eastAsia" w:ascii="仿宋_GB2312" w:hAnsi="仿宋_GB2312" w:eastAsia="仿宋_GB2312" w:cs="仿宋_GB2312"/>
          <w:sz w:val="32"/>
          <w:szCs w:val="32"/>
        </w:rPr>
        <w:t>万元，完成年初预算的100%。</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（类）残疾人事业（款）行政运行（项）。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262.31</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283.78</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108.2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决算数与年初预算数存在差异的主要原因是人员工资上调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增加支出。</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rPr>
        <w:t>．社会保障和就业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（类）残疾人事业（款）</w:t>
      </w:r>
      <w:r>
        <w:rPr>
          <w:rFonts w:hint="eastAsia" w:ascii="仿宋_GB2312" w:hAnsi="仿宋_GB2312" w:eastAsia="仿宋_GB2312" w:cs="仿宋_GB2312"/>
          <w:b/>
          <w:bCs/>
          <w:sz w:val="32"/>
          <w:szCs w:val="32"/>
          <w:lang w:val="en-US" w:eastAsia="zh-CN"/>
        </w:rPr>
        <w:t>残疾人康复</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13.8</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138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val="en-US" w:eastAsia="zh-CN"/>
        </w:rPr>
        <w:t>康复设备轮椅购买</w:t>
      </w:r>
      <w:r>
        <w:rPr>
          <w:rFonts w:hint="eastAsia" w:ascii="仿宋_GB2312" w:hAnsi="仿宋_GB2312" w:eastAsia="仿宋_GB2312" w:cs="仿宋_GB2312"/>
          <w:sz w:val="32"/>
          <w:szCs w:val="32"/>
        </w:rPr>
        <w:t>增加支出。</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rPr>
        <w:t>．社会保障和就业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（类）残疾人事业（款）</w:t>
      </w:r>
      <w:r>
        <w:rPr>
          <w:rFonts w:hint="eastAsia" w:ascii="仿宋_GB2312" w:hAnsi="仿宋_GB2312" w:eastAsia="仿宋_GB2312" w:cs="仿宋_GB2312"/>
          <w:b/>
          <w:bCs/>
          <w:sz w:val="32"/>
          <w:szCs w:val="32"/>
          <w:lang w:val="en-US" w:eastAsia="zh-CN"/>
        </w:rPr>
        <w:t>其他</w:t>
      </w:r>
      <w:r>
        <w:rPr>
          <w:rFonts w:hint="eastAsia" w:ascii="仿宋_GB2312" w:hAnsi="仿宋_GB2312" w:eastAsia="仿宋_GB2312" w:cs="仿宋_GB2312"/>
          <w:b/>
          <w:bCs/>
          <w:sz w:val="32"/>
          <w:szCs w:val="32"/>
        </w:rPr>
        <w:t>残疾人事业（项）。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62.33</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68.83</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110.4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val="en-US" w:eastAsia="zh-CN"/>
        </w:rPr>
        <w:t>社保缴费基数调整</w:t>
      </w:r>
      <w:r>
        <w:rPr>
          <w:rFonts w:hint="eastAsia" w:ascii="仿宋_GB2312" w:hAnsi="仿宋_GB2312" w:eastAsia="仿宋_GB2312" w:cs="仿宋_GB2312"/>
          <w:sz w:val="32"/>
          <w:szCs w:val="32"/>
        </w:rPr>
        <w:t>增加支出。</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7</w:t>
      </w:r>
      <w:r>
        <w:rPr>
          <w:rFonts w:hint="eastAsia" w:ascii="仿宋_GB2312" w:hAnsi="仿宋_GB2312" w:eastAsia="仿宋_GB2312" w:cs="仿宋_GB2312"/>
          <w:b/>
          <w:bCs/>
          <w:sz w:val="32"/>
          <w:szCs w:val="32"/>
        </w:rPr>
        <w:t>．社会保障和就业</w:t>
      </w:r>
      <w:r>
        <w:rPr>
          <w:rFonts w:hint="eastAsia" w:ascii="仿宋_GB2312" w:hAnsi="仿宋_GB2312" w:eastAsia="仿宋_GB2312" w:cs="仿宋_GB2312"/>
          <w:b/>
          <w:bCs/>
          <w:sz w:val="32"/>
          <w:szCs w:val="32"/>
          <w:lang w:val="en-US" w:eastAsia="zh-CN"/>
        </w:rPr>
        <w:t>支出</w:t>
      </w:r>
      <w:r>
        <w:rPr>
          <w:rFonts w:hint="eastAsia" w:ascii="仿宋_GB2312" w:hAnsi="仿宋_GB2312" w:eastAsia="仿宋_GB2312" w:cs="仿宋_GB2312"/>
          <w:b/>
          <w:bCs/>
          <w:sz w:val="32"/>
          <w:szCs w:val="32"/>
        </w:rPr>
        <w:t>（类）其他社会保障和就业支出（款）其他社会保障和就业支出（项）。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0.53</w:t>
      </w:r>
      <w:r>
        <w:rPr>
          <w:rFonts w:hint="eastAsia" w:ascii="仿宋_GB2312" w:hAnsi="仿宋_GB2312" w:eastAsia="仿宋_GB2312" w:cs="仿宋_GB2312"/>
          <w:sz w:val="32"/>
          <w:szCs w:val="32"/>
        </w:rPr>
        <w:t>万元，支出决算为0.5</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8</w:t>
      </w:r>
      <w:r>
        <w:rPr>
          <w:rFonts w:hint="eastAsia" w:ascii="仿宋_GB2312" w:hAnsi="仿宋_GB2312" w:eastAsia="仿宋_GB2312" w:cs="仿宋_GB2312"/>
          <w:b/>
          <w:bCs/>
          <w:sz w:val="32"/>
          <w:szCs w:val="32"/>
        </w:rPr>
        <w:t>．卫生健康支出（类）行政事业单位医疗（款）行政单位医疗（项）。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9</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农林水</w:t>
      </w:r>
      <w:r>
        <w:rPr>
          <w:rFonts w:hint="eastAsia" w:ascii="仿宋_GB2312" w:hAnsi="仿宋_GB2312" w:eastAsia="仿宋_GB2312" w:cs="仿宋_GB2312"/>
          <w:b/>
          <w:bCs/>
          <w:sz w:val="32"/>
          <w:szCs w:val="32"/>
        </w:rPr>
        <w:t>支出（类）</w:t>
      </w:r>
      <w:r>
        <w:rPr>
          <w:rFonts w:hint="eastAsia" w:ascii="仿宋_GB2312" w:hAnsi="仿宋_GB2312" w:eastAsia="仿宋_GB2312" w:cs="仿宋_GB2312"/>
          <w:b/>
          <w:bCs/>
          <w:sz w:val="32"/>
          <w:szCs w:val="32"/>
          <w:lang w:val="en-US" w:eastAsia="zh-CN"/>
        </w:rPr>
        <w:t>扶贫</w:t>
      </w:r>
      <w:r>
        <w:rPr>
          <w:rFonts w:hint="eastAsia" w:ascii="仿宋_GB2312" w:hAnsi="仿宋_GB2312" w:eastAsia="仿宋_GB2312" w:cs="仿宋_GB2312"/>
          <w:b/>
          <w:bCs/>
          <w:sz w:val="32"/>
          <w:szCs w:val="32"/>
        </w:rPr>
        <w:t>（款）</w:t>
      </w:r>
      <w:r>
        <w:rPr>
          <w:rFonts w:hint="eastAsia" w:ascii="仿宋_GB2312" w:hAnsi="仿宋_GB2312" w:eastAsia="仿宋_GB2312" w:cs="仿宋_GB2312"/>
          <w:b/>
          <w:bCs/>
          <w:sz w:val="32"/>
          <w:szCs w:val="32"/>
          <w:lang w:val="en-US" w:eastAsia="zh-CN"/>
        </w:rPr>
        <w:t>社会发展</w:t>
      </w:r>
      <w:r>
        <w:rPr>
          <w:rFonts w:hint="eastAsia" w:ascii="仿宋_GB2312" w:hAnsi="仿宋_GB2312" w:eastAsia="仿宋_GB2312" w:cs="仿宋_GB2312"/>
          <w:b/>
          <w:bCs/>
          <w:sz w:val="32"/>
          <w:szCs w:val="32"/>
        </w:rPr>
        <w:t>（项）。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40.64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决算数与年初预算数存在差异的主要原因是统筹整合贫困重度残疾人家庭无障碍实施改造项目。</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10</w:t>
      </w:r>
      <w:r>
        <w:rPr>
          <w:rFonts w:hint="eastAsia" w:ascii="仿宋_GB2312" w:hAnsi="仿宋_GB2312" w:eastAsia="仿宋_GB2312" w:cs="仿宋_GB2312"/>
          <w:b/>
          <w:bCs/>
          <w:sz w:val="32"/>
          <w:szCs w:val="32"/>
        </w:rPr>
        <w:t>．住房保障支出（类）住房改革支出（款）住房公积金（项）。</w:t>
      </w:r>
      <w:r>
        <w:rPr>
          <w:rFonts w:hint="eastAsia" w:ascii="仿宋_GB2312" w:hAnsi="仿宋_GB2312" w:eastAsia="仿宋_GB2312" w:cs="仿宋_GB2312"/>
          <w:sz w:val="32"/>
          <w:szCs w:val="32"/>
        </w:rPr>
        <w:t>年初预算为8.</w:t>
      </w:r>
      <w:r>
        <w:rPr>
          <w:rFonts w:hint="eastAsia" w:ascii="仿宋_GB2312" w:hAnsi="仿宋_GB2312" w:eastAsia="仿宋_GB2312" w:cs="仿宋_GB2312"/>
          <w:sz w:val="32"/>
          <w:szCs w:val="32"/>
          <w:lang w:val="en-US" w:eastAsia="zh-CN"/>
        </w:rPr>
        <w:t>71</w:t>
      </w:r>
      <w:r>
        <w:rPr>
          <w:rFonts w:hint="eastAsia" w:ascii="仿宋_GB2312" w:hAnsi="仿宋_GB2312" w:eastAsia="仿宋_GB2312" w:cs="仿宋_GB2312"/>
          <w:sz w:val="32"/>
          <w:szCs w:val="32"/>
        </w:rPr>
        <w:t>万元，支出决算为8.</w:t>
      </w:r>
      <w:r>
        <w:rPr>
          <w:rFonts w:hint="eastAsia" w:ascii="仿宋_GB2312" w:hAnsi="仿宋_GB2312" w:eastAsia="仿宋_GB2312" w:cs="仿宋_GB2312"/>
          <w:sz w:val="32"/>
          <w:szCs w:val="32"/>
          <w:lang w:val="en-US" w:eastAsia="zh-CN"/>
        </w:rPr>
        <w:t>71</w:t>
      </w:r>
      <w:r>
        <w:rPr>
          <w:rFonts w:hint="eastAsia" w:ascii="仿宋_GB2312" w:hAnsi="仿宋_GB2312" w:eastAsia="仿宋_GB2312" w:cs="仿宋_GB2312"/>
          <w:sz w:val="32"/>
          <w:szCs w:val="32"/>
        </w:rPr>
        <w:t>万元，完成年初预算的100 %。</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度一般公共预算财政拨款基本支出</w:t>
      </w:r>
      <w:r>
        <w:rPr>
          <w:rFonts w:hint="eastAsia" w:ascii="仿宋_GB2312" w:hAnsi="仿宋_GB2312" w:eastAsia="仿宋_GB2312" w:cs="仿宋_GB2312"/>
          <w:sz w:val="32"/>
          <w:szCs w:val="32"/>
          <w:lang w:val="en-US" w:eastAsia="zh-CN"/>
        </w:rPr>
        <w:t>406.17</w:t>
      </w:r>
      <w:r>
        <w:rPr>
          <w:rFonts w:hint="eastAsia" w:ascii="仿宋_GB2312" w:hAnsi="仿宋_GB2312" w:eastAsia="仿宋_GB2312" w:cs="仿宋_GB2312"/>
          <w:sz w:val="32"/>
          <w:szCs w:val="32"/>
        </w:rPr>
        <w:t>万元。其中：人员经费</w:t>
      </w:r>
      <w:r>
        <w:rPr>
          <w:rFonts w:hint="eastAsia" w:ascii="仿宋_GB2312" w:hAnsi="仿宋_GB2312" w:eastAsia="仿宋_GB2312" w:cs="仿宋_GB2312"/>
          <w:sz w:val="32"/>
          <w:szCs w:val="32"/>
          <w:lang w:val="en-US" w:eastAsia="zh-CN"/>
        </w:rPr>
        <w:t>253.01</w:t>
      </w:r>
      <w:r>
        <w:rPr>
          <w:rFonts w:hint="eastAsia" w:ascii="仿宋_GB2312" w:hAnsi="仿宋_GB2312" w:eastAsia="仿宋_GB2312" w:cs="仿宋_GB2312"/>
          <w:sz w:val="32"/>
          <w:szCs w:val="32"/>
        </w:rPr>
        <w:t>万元，主要包括：基本工资、</w:t>
      </w:r>
      <w:r>
        <w:rPr>
          <w:rFonts w:hint="eastAsia" w:ascii="仿宋_GB2312" w:hAnsi="仿宋_GB2312" w:eastAsia="仿宋_GB2312" w:cs="仿宋_GB2312"/>
          <w:sz w:val="32"/>
          <w:szCs w:val="32"/>
          <w:lang w:val="en-US" w:eastAsia="zh-CN"/>
        </w:rPr>
        <w:t>津贴补贴</w:t>
      </w:r>
      <w:r>
        <w:rPr>
          <w:rFonts w:hint="eastAsia" w:ascii="仿宋_GB2312" w:hAnsi="仿宋_GB2312" w:eastAsia="仿宋_GB2312" w:cs="仿宋_GB2312"/>
          <w:sz w:val="32"/>
          <w:szCs w:val="32"/>
        </w:rPr>
        <w:t>、机关事业单位基本养老保险缴费、职工基本医疗保险缴费、</w:t>
      </w:r>
      <w:r>
        <w:rPr>
          <w:rFonts w:hint="eastAsia" w:ascii="仿宋_GB2312" w:hAnsi="仿宋_GB2312" w:eastAsia="仿宋_GB2312" w:cs="仿宋_GB2312"/>
          <w:sz w:val="32"/>
          <w:szCs w:val="32"/>
          <w:lang w:val="en-US" w:eastAsia="zh-CN"/>
        </w:rPr>
        <w:t>其他社会保障</w:t>
      </w:r>
      <w:r>
        <w:rPr>
          <w:rFonts w:hint="eastAsia" w:ascii="仿宋_GB2312" w:hAnsi="仿宋_GB2312" w:eastAsia="仿宋_GB2312" w:cs="仿宋_GB2312"/>
          <w:sz w:val="32"/>
          <w:szCs w:val="32"/>
        </w:rPr>
        <w:t>缴费、住房公积金、抚恤金、</w:t>
      </w:r>
      <w:r>
        <w:rPr>
          <w:rFonts w:hint="eastAsia" w:ascii="仿宋_GB2312" w:hAnsi="仿宋_GB2312" w:eastAsia="仿宋_GB2312" w:cs="仿宋_GB2312"/>
          <w:sz w:val="32"/>
          <w:szCs w:val="32"/>
          <w:lang w:val="en-US" w:eastAsia="zh-CN"/>
        </w:rPr>
        <w:t>其他对个人和家庭的补助</w:t>
      </w:r>
      <w:r>
        <w:rPr>
          <w:rFonts w:hint="eastAsia" w:ascii="仿宋_GB2312" w:hAnsi="仿宋_GB2312" w:eastAsia="仿宋_GB2312" w:cs="仿宋_GB2312"/>
          <w:sz w:val="32"/>
          <w:szCs w:val="32"/>
        </w:rPr>
        <w:t>；公用经费1</w:t>
      </w:r>
      <w:r>
        <w:rPr>
          <w:rFonts w:hint="eastAsia" w:ascii="仿宋_GB2312" w:hAnsi="仿宋_GB2312" w:eastAsia="仿宋_GB2312" w:cs="仿宋_GB2312"/>
          <w:sz w:val="32"/>
          <w:szCs w:val="32"/>
          <w:lang w:val="en-US" w:eastAsia="zh-CN"/>
        </w:rPr>
        <w:t>53.16</w:t>
      </w:r>
      <w:r>
        <w:rPr>
          <w:rFonts w:hint="eastAsia" w:ascii="仿宋_GB2312" w:hAnsi="仿宋_GB2312" w:eastAsia="仿宋_GB2312" w:cs="仿宋_GB2312"/>
          <w:sz w:val="32"/>
          <w:szCs w:val="32"/>
        </w:rPr>
        <w:t>万元，主要包括：办公费、印刷费、电费、邮电费、差旅费、</w:t>
      </w:r>
      <w:r>
        <w:rPr>
          <w:rFonts w:hint="eastAsia" w:ascii="仿宋_GB2312" w:hAnsi="仿宋_GB2312" w:eastAsia="仿宋_GB2312" w:cs="仿宋_GB2312"/>
          <w:sz w:val="32"/>
          <w:szCs w:val="32"/>
          <w:lang w:val="en-US" w:eastAsia="zh-CN"/>
        </w:rPr>
        <w:t>维修（护）费、</w:t>
      </w:r>
      <w:r>
        <w:rPr>
          <w:rFonts w:hint="eastAsia" w:ascii="仿宋_GB2312" w:hAnsi="仿宋_GB2312" w:eastAsia="仿宋_GB2312" w:cs="仿宋_GB2312"/>
          <w:sz w:val="32"/>
          <w:szCs w:val="32"/>
        </w:rPr>
        <w:t>培训费、公务接待费、</w:t>
      </w:r>
      <w:r>
        <w:rPr>
          <w:rFonts w:hint="eastAsia" w:ascii="仿宋_GB2312" w:hAnsi="仿宋_GB2312" w:eastAsia="仿宋_GB2312" w:cs="仿宋_GB2312"/>
          <w:sz w:val="32"/>
          <w:szCs w:val="32"/>
          <w:lang w:val="en-US" w:eastAsia="zh-CN"/>
        </w:rPr>
        <w:t>专用材料费、工会经</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val="en-US" w:eastAsia="zh-CN"/>
        </w:rPr>
        <w:t>税金及附加费用</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七、一般公共预算财政拨款“三公”经费支出决算情况说明</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pPr>
        <w:keepNext w:val="0"/>
        <w:keepLines w:val="0"/>
        <w:pageBreakBefore w:val="0"/>
        <w:widowControl/>
        <w:kinsoku/>
        <w:wordWrap/>
        <w:overflowPunct/>
        <w:topLinePunct w:val="0"/>
        <w:autoSpaceDE/>
        <w:autoSpaceDN/>
        <w:bidi w:val="0"/>
        <w:adjustRightInd/>
        <w:snapToGrid/>
        <w:spacing w:line="59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度“三公”经费财政拨款支出预算为2万元，支出决算为1.90万元，完成预算的95%。</w:t>
      </w:r>
      <w:r>
        <w:rPr>
          <w:rFonts w:hint="eastAsia" w:ascii="仿宋_GB2312" w:hAnsi="仿宋_GB2312" w:eastAsia="仿宋_GB2312" w:cs="仿宋_GB2312"/>
          <w:color w:val="auto"/>
          <w:sz w:val="32"/>
          <w:szCs w:val="32"/>
          <w:highlight w:val="none"/>
          <w:lang w:val="en-US" w:eastAsia="zh-CN"/>
        </w:rPr>
        <w:t>2020年度“三公”经费支出决算数与预算数存在差异的主要原因是压缩开支，励行节约。</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度“三公”经费财政拨款支出决算中，因公出国（境）费支出决算0万元；公务用车购置及运行费支出决算0万元；公务接待费支出决算1.90万元，完成预算的95%。具体情况如下：</w:t>
      </w:r>
    </w:p>
    <w:p>
      <w:pPr>
        <w:widowControl/>
        <w:numPr>
          <w:ilvl w:val="0"/>
          <w:numId w:val="3"/>
        </w:numPr>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因公出国（境）费</w:t>
      </w:r>
      <w:r>
        <w:rPr>
          <w:rFonts w:hint="eastAsia" w:ascii="仿宋_GB2312" w:hAnsi="仿宋_GB2312" w:eastAsia="仿宋_GB2312" w:cs="仿宋_GB2312"/>
          <w:sz w:val="32"/>
          <w:szCs w:val="32"/>
        </w:rPr>
        <w:t>年初预算为0万元，支出决算为0万元。全年因公出国（境）团组0个，累计0人次</w:t>
      </w:r>
      <w:r>
        <w:rPr>
          <w:rFonts w:hint="eastAsia" w:ascii="仿宋_GB2312" w:hAnsi="仿宋_GB2312" w:eastAsia="仿宋_GB2312" w:cs="仿宋_GB2312"/>
          <w:sz w:val="32"/>
          <w:szCs w:val="32"/>
          <w:lang w:eastAsia="zh-CN"/>
        </w:rPr>
        <w:t>。</w:t>
      </w:r>
    </w:p>
    <w:p>
      <w:pPr>
        <w:widowControl/>
        <w:numPr>
          <w:ilvl w:val="0"/>
          <w:numId w:val="0"/>
        </w:numPr>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年初预算为0万元，支出决算为0万元。其中：</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为0万元</w:t>
      </w:r>
      <w:r>
        <w:rPr>
          <w:rFonts w:hint="eastAsia" w:ascii="仿宋_GB2312" w:hAnsi="仿宋_GB2312" w:eastAsia="仿宋_GB2312" w:cs="仿宋_GB2312"/>
          <w:sz w:val="32"/>
          <w:szCs w:val="32"/>
          <w:lang w:eastAsia="zh-CN"/>
        </w:rPr>
        <w:t>，购置车辆为</w:t>
      </w:r>
      <w:r>
        <w:rPr>
          <w:rFonts w:hint="eastAsia" w:ascii="仿宋_GB2312" w:hAnsi="仿宋_GB2312" w:eastAsia="仿宋_GB2312" w:cs="仿宋_GB2312"/>
          <w:sz w:val="32"/>
          <w:szCs w:val="32"/>
          <w:lang w:val="en-US" w:eastAsia="zh-CN"/>
        </w:rPr>
        <w:t>0辆</w:t>
      </w:r>
      <w:r>
        <w:rPr>
          <w:rFonts w:hint="eastAsia" w:ascii="仿宋_GB2312" w:hAnsi="仿宋_GB2312" w:eastAsia="仿宋_GB2312" w:cs="仿宋_GB2312"/>
          <w:sz w:val="32"/>
          <w:szCs w:val="32"/>
        </w:rPr>
        <w:t>。</w:t>
      </w:r>
    </w:p>
    <w:p>
      <w:pPr>
        <w:widowControl/>
        <w:spacing w:line="590" w:lineRule="exact"/>
        <w:ind w:firstLine="643"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公务用车运行支出</w:t>
      </w:r>
      <w:r>
        <w:rPr>
          <w:rFonts w:hint="eastAsia" w:ascii="仿宋_GB2312" w:hAnsi="仿宋_GB2312" w:eastAsia="仿宋_GB2312" w:cs="仿宋_GB2312"/>
          <w:sz w:val="32"/>
          <w:szCs w:val="32"/>
        </w:rPr>
        <w:t>0万元。</w:t>
      </w:r>
      <w:r>
        <w:rPr>
          <w:rFonts w:hint="eastAsia" w:ascii="仿宋_GB2312" w:hAnsi="仿宋_GB2312" w:eastAsia="仿宋_GB2312" w:cs="仿宋_GB2312"/>
          <w:sz w:val="32"/>
          <w:szCs w:val="32"/>
          <w:lang w:val="en-US" w:eastAsia="zh-CN"/>
        </w:rPr>
        <w:t>2020年期未部门开支财政拔款公务用保有辆为0辆。</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年初预算为2万元，支出决算为1.90万元，完成年初预算的95%。其中：</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rPr>
        <w:t>0万元。</w:t>
      </w: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共接待国（境）外来访团组0个、来访外宾0人次（不包括陪同人员）。</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rPr>
        <w:t>1.90万元。</w:t>
      </w:r>
      <w:r>
        <w:rPr>
          <w:rFonts w:hint="eastAsia" w:ascii="仿宋_GB2312" w:hAnsi="仿宋_GB2312" w:eastAsia="仿宋_GB2312" w:cs="仿宋_GB2312"/>
          <w:sz w:val="32"/>
          <w:szCs w:val="32"/>
          <w:lang w:eastAsia="zh-CN"/>
        </w:rPr>
        <w:t>主</w:t>
      </w:r>
      <w:r>
        <w:rPr>
          <w:rFonts w:hint="eastAsia" w:ascii="仿宋_GB2312" w:hAnsi="仿宋_GB2312" w:eastAsia="仿宋_GB2312" w:cs="仿宋_GB2312"/>
          <w:sz w:val="32"/>
          <w:szCs w:val="32"/>
        </w:rPr>
        <w:t>要用于按规定开支的各类公务接待支出。</w:t>
      </w: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共接待国内来访团组</w:t>
      </w:r>
      <w:r>
        <w:rPr>
          <w:rFonts w:hint="eastAsia" w:ascii="仿宋_GB2312" w:hAnsi="仿宋_GB2312" w:eastAsia="仿宋_GB2312" w:cs="仿宋_GB2312"/>
          <w:sz w:val="32"/>
          <w:szCs w:val="32"/>
          <w:lang w:val="en-US" w:eastAsia="zh-CN"/>
        </w:rPr>
        <w:t>38</w:t>
      </w:r>
      <w:r>
        <w:rPr>
          <w:rFonts w:hint="eastAsia" w:ascii="仿宋_GB2312" w:hAnsi="仿宋_GB2312" w:eastAsia="仿宋_GB2312" w:cs="仿宋_GB2312"/>
          <w:sz w:val="32"/>
          <w:szCs w:val="32"/>
        </w:rPr>
        <w:t>个、来宾</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62人次（不包括陪同人员）。</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八、预算绩效情况说明</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2020年度，依据省委、省政府及省财政厅部署要求，我单位认真学习贯彻文件精神，积极主动开展绩效自评工作，做到了预算项目日常监控与年度自评相结合，完成绩效预算绩效管理工作。</w:t>
      </w:r>
    </w:p>
    <w:p>
      <w:pPr>
        <w:widowControl/>
        <w:numPr>
          <w:ilvl w:val="0"/>
          <w:numId w:val="4"/>
        </w:numPr>
        <w:spacing w:line="590" w:lineRule="exact"/>
        <w:ind w:firstLine="643" w:firstLineChars="200"/>
        <w:rPr>
          <w:rFonts w:ascii="微软雅黑" w:hAnsi="微软雅黑" w:eastAsia="微软雅黑" w:cs="微软雅黑"/>
          <w:i w:val="0"/>
          <w:iCs w:val="0"/>
          <w:caps w:val="0"/>
          <w:color w:val="000000"/>
          <w:spacing w:val="0"/>
          <w:sz w:val="27"/>
          <w:szCs w:val="27"/>
        </w:rPr>
      </w:pPr>
      <w:r>
        <w:rPr>
          <w:rFonts w:hint="eastAsia" w:ascii="楷体_GB2312" w:hAnsi="楷体_GB2312" w:eastAsia="楷体_GB2312" w:cs="楷体_GB2312"/>
          <w:b/>
          <w:bCs/>
          <w:sz w:val="32"/>
          <w:szCs w:val="32"/>
          <w:lang w:val="en-US" w:eastAsia="zh-CN"/>
        </w:rPr>
        <w:t>项目绩效自评结果。</w:t>
      </w:r>
    </w:p>
    <w:p>
      <w:pPr>
        <w:widowControl/>
        <w:spacing w:line="590" w:lineRule="exact"/>
        <w:ind w:firstLine="640" w:firstLineChars="200"/>
        <w:outlineLvl w:val="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2020年我单位组织成立考核小组对本单位项目进行了绩效考评，明确岗位职责和分工任务，从目标设定、决算配置、决算执行、决算管理、履职效益等指标进行评价，同时对项目考核结果做出了总结，对可持续性项目进行延续并改进，对可实现性项目保留。项目完成度达到100%，可持续影响及受益人幸福感和满意度达到98%以上。</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（三）以单位为主体开展的重点绩效评价结果。</w:t>
      </w:r>
    </w:p>
    <w:p>
      <w:pPr>
        <w:widowControl/>
        <w:spacing w:line="590" w:lineRule="exact"/>
        <w:ind w:firstLine="640" w:firstLineChars="200"/>
        <w:outlineLvl w:val="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按照绩效评价暂行办法，制定绩效评价工作方案， 对照分析绩效评价体系，及时开展绩效评价工作的资料收 集、信息填报、自查自评工作。绩效评价工作小组对资料进 行审查核实和质量把关，并实地逐一检查核实了项目实施情 况，对县残疾人康复中心项目建设支出情况进行了核查，征求相关部门意见，综合分析并形成评价结论。</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九、政府性基金预算财政拨款支出决算情况说明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年度政府性基金预算财政拨款支出年初预算为</w:t>
      </w:r>
      <w:r>
        <w:rPr>
          <w:rFonts w:hint="eastAsia" w:ascii="仿宋_GB2312" w:hAnsi="仿宋_GB2312" w:eastAsia="仿宋_GB2312" w:cs="仿宋_GB2312"/>
          <w:sz w:val="32"/>
          <w:szCs w:val="32"/>
          <w:lang w:val="en-US" w:eastAsia="zh-CN"/>
        </w:rPr>
        <w:t>97.41</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97.41</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%。主要用于残疾人事业的彩票公益金支出。</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十、机关运行经费支出情况说明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度机关运行经费年初预算为</w:t>
      </w:r>
      <w:r>
        <w:rPr>
          <w:rFonts w:hint="eastAsia" w:ascii="仿宋_GB2312" w:hAnsi="仿宋_GB2312" w:eastAsia="仿宋_GB2312" w:cs="仿宋_GB2312"/>
          <w:sz w:val="32"/>
          <w:szCs w:val="32"/>
          <w:lang w:val="en-US" w:eastAsia="zh-CN"/>
        </w:rPr>
        <w:t>145.16</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153.16</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105.5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扶贫工作增加日常开支。</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十一、政府采购支出情况说明</w:t>
      </w:r>
    </w:p>
    <w:p>
      <w:pPr>
        <w:widowControl/>
        <w:spacing w:line="590" w:lineRule="exact"/>
        <w:ind w:firstLine="640" w:firstLineChars="200"/>
        <w:outlineLvl w:val="1"/>
        <w:rPr>
          <w:rFonts w:hint="eastAsia" w:ascii="黑体" w:hAnsi="黑体" w:eastAsia="仿宋_GB2312" w:cs="黑体"/>
          <w:sz w:val="32"/>
          <w:szCs w:val="32"/>
          <w:lang w:eastAsia="zh-CN"/>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度政府采购支出总额</w:t>
      </w:r>
      <w:r>
        <w:rPr>
          <w:rFonts w:hint="eastAsia" w:ascii="仿宋_GB2312" w:hAnsi="仿宋_GB2312" w:eastAsia="仿宋_GB2312" w:cs="仿宋_GB2312"/>
          <w:sz w:val="32"/>
          <w:szCs w:val="32"/>
          <w:lang w:val="en-US" w:eastAsia="zh-CN"/>
        </w:rPr>
        <w:t>40.64</w:t>
      </w:r>
      <w:r>
        <w:rPr>
          <w:rFonts w:hint="eastAsia" w:ascii="仿宋_GB2312" w:hAnsi="仿宋_GB2312" w:eastAsia="仿宋_GB2312" w:cs="仿宋_GB2312"/>
          <w:sz w:val="32"/>
          <w:szCs w:val="32"/>
        </w:rPr>
        <w:t>万元，其中：政府采购工程支出</w:t>
      </w:r>
      <w:r>
        <w:rPr>
          <w:rFonts w:hint="eastAsia" w:ascii="仿宋_GB2312" w:hAnsi="仿宋_GB2312" w:eastAsia="仿宋_GB2312" w:cs="仿宋_GB2312"/>
          <w:sz w:val="32"/>
          <w:szCs w:val="32"/>
          <w:lang w:val="en-US" w:eastAsia="zh-CN"/>
        </w:rPr>
        <w:t>40.64</w:t>
      </w:r>
      <w:r>
        <w:rPr>
          <w:rFonts w:hint="eastAsia" w:ascii="仿宋_GB2312" w:hAnsi="仿宋_GB2312" w:eastAsia="仿宋_GB2312" w:cs="仿宋_GB2312"/>
          <w:sz w:val="32"/>
          <w:szCs w:val="32"/>
        </w:rPr>
        <w:t>万元。授予中小企业合同金额</w:t>
      </w:r>
      <w:r>
        <w:rPr>
          <w:rFonts w:hint="eastAsia" w:ascii="仿宋_GB2312" w:hAnsi="仿宋_GB2312" w:eastAsia="仿宋_GB2312" w:cs="仿宋_GB2312"/>
          <w:sz w:val="32"/>
          <w:szCs w:val="32"/>
          <w:lang w:val="en-US" w:eastAsia="zh-CN"/>
        </w:rPr>
        <w:t>40.64</w:t>
      </w:r>
      <w:r>
        <w:rPr>
          <w:rFonts w:hint="eastAsia" w:ascii="仿宋_GB2312" w:hAnsi="仿宋_GB2312" w:eastAsia="仿宋_GB2312" w:cs="仿宋_GB2312"/>
          <w:sz w:val="32"/>
          <w:szCs w:val="32"/>
        </w:rPr>
        <w:t>万元，占政府采购支出总额的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2020年</w:t>
      </w:r>
      <w:r>
        <w:rPr>
          <w:rFonts w:hint="eastAsia" w:ascii="仿宋_GB2312" w:hAnsi="仿宋_GB2312" w:eastAsia="仿宋_GB2312" w:cs="仿宋_GB2312"/>
          <w:sz w:val="32"/>
          <w:szCs w:val="32"/>
        </w:rPr>
        <w:t>期末，我部门共有车辆0辆；单位价值50万元以上通用设备0台（套），单位价值100万元以上专用设备0台（套）。</w:t>
      </w:r>
    </w:p>
    <w:p>
      <w:pPr>
        <w:widowControl/>
        <w:jc w:val="left"/>
        <w:rPr>
          <w:rFonts w:ascii="楷体_GB2312" w:hAnsi="楷体_GB2312" w:eastAsia="楷体_GB2312" w:cs="楷体_GB2312"/>
          <w:sz w:val="32"/>
          <w:szCs w:val="32"/>
        </w:rPr>
        <w:sectPr>
          <w:pgSz w:w="11906" w:h="16838"/>
          <w:pgMar w:top="1440" w:right="1800" w:bottom="1440" w:left="180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outlineLvl w:val="0"/>
        <w:rPr>
          <w:rFonts w:ascii="黑体" w:hAnsi="黑体" w:eastAsia="黑体" w:cs="黑体"/>
          <w:sz w:val="48"/>
          <w:szCs w:val="48"/>
        </w:rPr>
      </w:pPr>
      <w:r>
        <w:rPr>
          <w:rFonts w:hint="eastAsia" w:ascii="黑体" w:hAnsi="黑体" w:eastAsia="黑体" w:cs="黑体"/>
          <w:sz w:val="48"/>
          <w:szCs w:val="48"/>
        </w:rPr>
        <w:t>第四部分  名词解释</w:t>
      </w:r>
    </w:p>
    <w:p>
      <w:pPr>
        <w:jc w:val="center"/>
        <w:rPr>
          <w:rFonts w:ascii="黑体" w:hAnsi="黑体" w:eastAsia="黑体" w:cs="黑体"/>
          <w:sz w:val="48"/>
          <w:szCs w:val="48"/>
        </w:rPr>
      </w:pPr>
    </w:p>
    <w:p>
      <w:pPr>
        <w:jc w:val="center"/>
        <w:outlineLvl w:val="0"/>
        <w:rPr>
          <w:rFonts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20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wps:txbx>
                    <wps:bodyPr wrap="none" lIns="0" tIns="0" rIns="0" bIns="0" upright="1">
                      <a:spAutoFit/>
                    </wps:bodyPr>
                  </wps:wsp>
                </a:graphicData>
              </a:graphic>
            </wp:anchor>
          </w:drawing>
        </mc:Choice>
        <mc:Fallback>
          <w:pict>
            <v:shape id="文本框 2054"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HzPOHPLAQAAnAMAAA4AAAAAAAAAAQAgAAAAHgEAAGRycy9lMm9E&#10;b2MueG1sUEsFBgAAAAAGAAYAWQEAAFsFA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- 5 -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bJ+8PLAQAAnAMAAA4AAAAAAAAAAQAgAAAAHgEAAGRycy9lMm9E&#10;b2MueG1sUEsFBgAAAAAGAAYAWQEAAFsFAAAAAA==&#10;">
              <v:fill on="f" focussize="0,0"/>
              <v:stroke on="f"/>
              <v:imagedata o:title=""/>
              <o:lock v:ext="edit" aspectratio="f"/>
              <v:textbox inset="0mm,0mm,0mm,0mm" style="mso-fit-shape-to-text:t;">
                <w:txbxContent>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0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- 4 -</w:t>
                          </w:r>
                          <w:r>
                            <w:rPr>
                              <w:rFonts w:hint="eastAsia"/>
                              <w:sz w:val="18"/>
                            </w:rPr>
                            <w:fldChar w:fldCharType="end"/>
                          </w:r>
                        </w:p>
                      </w:txbxContent>
                    </wps:txbx>
                    <wps:bodyPr wrap="none" lIns="0" tIns="0" rIns="0" bIns="0" upright="1">
                      <a:spAutoFit/>
                    </wps:bodyPr>
                  </wps:wsp>
                </a:graphicData>
              </a:graphic>
            </wp:anchor>
          </w:drawing>
        </mc:Choice>
        <mc:Fallback>
          <w:pict>
            <v:shape id="文本框 205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C2wqPFzAEAAJwDAAAOAAAAAAAAAAEAIAAAAB4BAABkcnMvZTJv&#10;RG9jLnhtbFBLBQYAAAAABgAGAFkBAABc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- 4 -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484C2A"/>
    <w:multiLevelType w:val="singleLevel"/>
    <w:tmpl w:val="DA484C2A"/>
    <w:lvl w:ilvl="0" w:tentative="0">
      <w:start w:val="1"/>
      <w:numFmt w:val="decimal"/>
      <w:suff w:val="nothing"/>
      <w:lvlText w:val="%1．"/>
      <w:lvlJc w:val="left"/>
    </w:lvl>
  </w:abstractNum>
  <w:abstractNum w:abstractNumId="1">
    <w:nsid w:val="E9B97F8B"/>
    <w:multiLevelType w:val="singleLevel"/>
    <w:tmpl w:val="E9B97F8B"/>
    <w:lvl w:ilvl="0" w:tentative="0">
      <w:start w:val="3"/>
      <w:numFmt w:val="chineseCounting"/>
      <w:suff w:val="space"/>
      <w:lvlText w:val="第%1部分"/>
      <w:lvlJc w:val="left"/>
      <w:rPr>
        <w:rFonts w:hint="eastAsia"/>
      </w:rPr>
    </w:lvl>
  </w:abstractNum>
  <w:abstractNum w:abstractNumId="2">
    <w:nsid w:val="F329D2D8"/>
    <w:multiLevelType w:val="singleLevel"/>
    <w:tmpl w:val="F329D2D8"/>
    <w:lvl w:ilvl="0" w:tentative="0">
      <w:start w:val="2"/>
      <w:numFmt w:val="chineseCounting"/>
      <w:suff w:val="nothing"/>
      <w:lvlText w:val="（%1）"/>
      <w:lvlJc w:val="left"/>
      <w:rPr>
        <w:rFonts w:hint="eastAsia"/>
      </w:rPr>
    </w:lvl>
  </w:abstractNum>
  <w:abstractNum w:abstractNumId="3">
    <w:nsid w:val="5971BE17"/>
    <w:multiLevelType w:val="singleLevel"/>
    <w:tmpl w:val="5971BE17"/>
    <w:lvl w:ilvl="0" w:tentative="0">
      <w:start w:val="1"/>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489B"/>
    <w:rsid w:val="000270E8"/>
    <w:rsid w:val="000552F3"/>
    <w:rsid w:val="00057AFD"/>
    <w:rsid w:val="00076410"/>
    <w:rsid w:val="000C073B"/>
    <w:rsid w:val="001003F8"/>
    <w:rsid w:val="001125F5"/>
    <w:rsid w:val="00144159"/>
    <w:rsid w:val="00170EAC"/>
    <w:rsid w:val="001718A8"/>
    <w:rsid w:val="00172A27"/>
    <w:rsid w:val="00182842"/>
    <w:rsid w:val="001905F2"/>
    <w:rsid w:val="001A0761"/>
    <w:rsid w:val="001A0A98"/>
    <w:rsid w:val="001D61B1"/>
    <w:rsid w:val="001F5040"/>
    <w:rsid w:val="002006EB"/>
    <w:rsid w:val="00207FFB"/>
    <w:rsid w:val="00222785"/>
    <w:rsid w:val="00260D70"/>
    <w:rsid w:val="00261D8A"/>
    <w:rsid w:val="00272C2D"/>
    <w:rsid w:val="00281CCF"/>
    <w:rsid w:val="00282C7F"/>
    <w:rsid w:val="00287811"/>
    <w:rsid w:val="002B3F94"/>
    <w:rsid w:val="002B7414"/>
    <w:rsid w:val="002E6A86"/>
    <w:rsid w:val="00304D04"/>
    <w:rsid w:val="00305B88"/>
    <w:rsid w:val="00315FEB"/>
    <w:rsid w:val="003413D7"/>
    <w:rsid w:val="003E518A"/>
    <w:rsid w:val="003F2F1D"/>
    <w:rsid w:val="0042585F"/>
    <w:rsid w:val="00433057"/>
    <w:rsid w:val="00445CAC"/>
    <w:rsid w:val="00457C78"/>
    <w:rsid w:val="00472E19"/>
    <w:rsid w:val="00487869"/>
    <w:rsid w:val="004B62D9"/>
    <w:rsid w:val="004C0FA8"/>
    <w:rsid w:val="004D25CC"/>
    <w:rsid w:val="004D4D5B"/>
    <w:rsid w:val="004D5275"/>
    <w:rsid w:val="004D5FC0"/>
    <w:rsid w:val="004F7952"/>
    <w:rsid w:val="00507364"/>
    <w:rsid w:val="00546F7C"/>
    <w:rsid w:val="005A0C2F"/>
    <w:rsid w:val="005B1AE2"/>
    <w:rsid w:val="005D47FA"/>
    <w:rsid w:val="005E244A"/>
    <w:rsid w:val="005E6AAA"/>
    <w:rsid w:val="0060046F"/>
    <w:rsid w:val="00611B41"/>
    <w:rsid w:val="00620A3B"/>
    <w:rsid w:val="006228C4"/>
    <w:rsid w:val="006512DD"/>
    <w:rsid w:val="00656BEF"/>
    <w:rsid w:val="00656D75"/>
    <w:rsid w:val="00657E86"/>
    <w:rsid w:val="00664A3C"/>
    <w:rsid w:val="006711F2"/>
    <w:rsid w:val="00673EF7"/>
    <w:rsid w:val="0069449E"/>
    <w:rsid w:val="006977D7"/>
    <w:rsid w:val="006C07F0"/>
    <w:rsid w:val="006C644A"/>
    <w:rsid w:val="006C7D84"/>
    <w:rsid w:val="007148E8"/>
    <w:rsid w:val="00733DAA"/>
    <w:rsid w:val="00737B6B"/>
    <w:rsid w:val="00742BA0"/>
    <w:rsid w:val="00753545"/>
    <w:rsid w:val="00764156"/>
    <w:rsid w:val="007706D7"/>
    <w:rsid w:val="00777916"/>
    <w:rsid w:val="0078512D"/>
    <w:rsid w:val="007879ED"/>
    <w:rsid w:val="00790DA7"/>
    <w:rsid w:val="007A0306"/>
    <w:rsid w:val="007A48A3"/>
    <w:rsid w:val="007A7837"/>
    <w:rsid w:val="007B12BA"/>
    <w:rsid w:val="007C029F"/>
    <w:rsid w:val="007C7F49"/>
    <w:rsid w:val="007D2A21"/>
    <w:rsid w:val="00820A81"/>
    <w:rsid w:val="00832E86"/>
    <w:rsid w:val="00843461"/>
    <w:rsid w:val="00863864"/>
    <w:rsid w:val="00872946"/>
    <w:rsid w:val="008735E1"/>
    <w:rsid w:val="0088023A"/>
    <w:rsid w:val="008820F9"/>
    <w:rsid w:val="008858FB"/>
    <w:rsid w:val="00894B41"/>
    <w:rsid w:val="008A2897"/>
    <w:rsid w:val="008B5427"/>
    <w:rsid w:val="008D4669"/>
    <w:rsid w:val="008E55A8"/>
    <w:rsid w:val="00902FC0"/>
    <w:rsid w:val="00903F6B"/>
    <w:rsid w:val="009173F9"/>
    <w:rsid w:val="00946896"/>
    <w:rsid w:val="00967632"/>
    <w:rsid w:val="00975A04"/>
    <w:rsid w:val="00985FD3"/>
    <w:rsid w:val="00997299"/>
    <w:rsid w:val="009A6AA6"/>
    <w:rsid w:val="009B17B5"/>
    <w:rsid w:val="009B75F9"/>
    <w:rsid w:val="009F546E"/>
    <w:rsid w:val="00A079F0"/>
    <w:rsid w:val="00A11BB7"/>
    <w:rsid w:val="00A17DF1"/>
    <w:rsid w:val="00A57BF7"/>
    <w:rsid w:val="00A61A73"/>
    <w:rsid w:val="00A66710"/>
    <w:rsid w:val="00A83D8A"/>
    <w:rsid w:val="00A93E7D"/>
    <w:rsid w:val="00AA260E"/>
    <w:rsid w:val="00AA44CB"/>
    <w:rsid w:val="00AA67CD"/>
    <w:rsid w:val="00AC20F5"/>
    <w:rsid w:val="00AD6575"/>
    <w:rsid w:val="00AD6761"/>
    <w:rsid w:val="00AE1010"/>
    <w:rsid w:val="00AE600E"/>
    <w:rsid w:val="00AE61CA"/>
    <w:rsid w:val="00B0083B"/>
    <w:rsid w:val="00B209B8"/>
    <w:rsid w:val="00B249F3"/>
    <w:rsid w:val="00B32B49"/>
    <w:rsid w:val="00B34C59"/>
    <w:rsid w:val="00B6488D"/>
    <w:rsid w:val="00B710DD"/>
    <w:rsid w:val="00B95C66"/>
    <w:rsid w:val="00BC78BC"/>
    <w:rsid w:val="00BD1D42"/>
    <w:rsid w:val="00BE0620"/>
    <w:rsid w:val="00BE5A85"/>
    <w:rsid w:val="00BF5718"/>
    <w:rsid w:val="00C3106E"/>
    <w:rsid w:val="00C32649"/>
    <w:rsid w:val="00C5440E"/>
    <w:rsid w:val="00C60609"/>
    <w:rsid w:val="00C95CC1"/>
    <w:rsid w:val="00CA3F44"/>
    <w:rsid w:val="00CE212D"/>
    <w:rsid w:val="00CE4B38"/>
    <w:rsid w:val="00CE647B"/>
    <w:rsid w:val="00D1321A"/>
    <w:rsid w:val="00D156BF"/>
    <w:rsid w:val="00D30ADF"/>
    <w:rsid w:val="00D43A05"/>
    <w:rsid w:val="00D6315E"/>
    <w:rsid w:val="00D652C2"/>
    <w:rsid w:val="00D74EE2"/>
    <w:rsid w:val="00D83E19"/>
    <w:rsid w:val="00DA00C9"/>
    <w:rsid w:val="00DB200E"/>
    <w:rsid w:val="00DB65F5"/>
    <w:rsid w:val="00DD5A4D"/>
    <w:rsid w:val="00E01C3E"/>
    <w:rsid w:val="00E13099"/>
    <w:rsid w:val="00E4339F"/>
    <w:rsid w:val="00E629EA"/>
    <w:rsid w:val="00E6777C"/>
    <w:rsid w:val="00E67CAE"/>
    <w:rsid w:val="00E75964"/>
    <w:rsid w:val="00E97961"/>
    <w:rsid w:val="00EB05A3"/>
    <w:rsid w:val="00ED38B7"/>
    <w:rsid w:val="00EE051D"/>
    <w:rsid w:val="00F0131A"/>
    <w:rsid w:val="00F14C17"/>
    <w:rsid w:val="00F17041"/>
    <w:rsid w:val="00F2218B"/>
    <w:rsid w:val="00F44937"/>
    <w:rsid w:val="00F61A47"/>
    <w:rsid w:val="00F84422"/>
    <w:rsid w:val="00F95455"/>
    <w:rsid w:val="00FA574D"/>
    <w:rsid w:val="00FB406F"/>
    <w:rsid w:val="00FD3FFD"/>
    <w:rsid w:val="00FE7AD9"/>
    <w:rsid w:val="01322275"/>
    <w:rsid w:val="01714809"/>
    <w:rsid w:val="019B717E"/>
    <w:rsid w:val="01DC6F05"/>
    <w:rsid w:val="02A3489A"/>
    <w:rsid w:val="02CA138D"/>
    <w:rsid w:val="02E238C3"/>
    <w:rsid w:val="033646FC"/>
    <w:rsid w:val="03C75F80"/>
    <w:rsid w:val="0478364D"/>
    <w:rsid w:val="04AF4BA4"/>
    <w:rsid w:val="050E70CD"/>
    <w:rsid w:val="053D4C0D"/>
    <w:rsid w:val="0557532E"/>
    <w:rsid w:val="0799329C"/>
    <w:rsid w:val="086F16A7"/>
    <w:rsid w:val="09215D9B"/>
    <w:rsid w:val="0A0F7225"/>
    <w:rsid w:val="0A2B7D82"/>
    <w:rsid w:val="0ADC40E9"/>
    <w:rsid w:val="0AE607F4"/>
    <w:rsid w:val="0B451598"/>
    <w:rsid w:val="0BEC73F4"/>
    <w:rsid w:val="0C392698"/>
    <w:rsid w:val="0D224EC2"/>
    <w:rsid w:val="10BD36F6"/>
    <w:rsid w:val="11BF0649"/>
    <w:rsid w:val="123E3E08"/>
    <w:rsid w:val="12F66B4A"/>
    <w:rsid w:val="161C2DFF"/>
    <w:rsid w:val="16373578"/>
    <w:rsid w:val="16D3336B"/>
    <w:rsid w:val="17806C36"/>
    <w:rsid w:val="17A74F62"/>
    <w:rsid w:val="18A47774"/>
    <w:rsid w:val="19352BDA"/>
    <w:rsid w:val="19C13DCF"/>
    <w:rsid w:val="1A6011A3"/>
    <w:rsid w:val="1AAC45EE"/>
    <w:rsid w:val="1AC00A7A"/>
    <w:rsid w:val="1B2E6FD8"/>
    <w:rsid w:val="1B877D21"/>
    <w:rsid w:val="1C4319A9"/>
    <w:rsid w:val="1D9F5BCF"/>
    <w:rsid w:val="1DF371ED"/>
    <w:rsid w:val="1E4D68A4"/>
    <w:rsid w:val="1E994F4A"/>
    <w:rsid w:val="1EAF0224"/>
    <w:rsid w:val="1ED74E3A"/>
    <w:rsid w:val="1F2230A4"/>
    <w:rsid w:val="1F674B48"/>
    <w:rsid w:val="20210932"/>
    <w:rsid w:val="202448E0"/>
    <w:rsid w:val="206F0DDB"/>
    <w:rsid w:val="20BE3E6B"/>
    <w:rsid w:val="21302EEA"/>
    <w:rsid w:val="22376FB5"/>
    <w:rsid w:val="23E152D7"/>
    <w:rsid w:val="255D43C8"/>
    <w:rsid w:val="25FD0CE5"/>
    <w:rsid w:val="26876BDD"/>
    <w:rsid w:val="2714632A"/>
    <w:rsid w:val="272405C5"/>
    <w:rsid w:val="27616EF7"/>
    <w:rsid w:val="27B0539E"/>
    <w:rsid w:val="29365CF8"/>
    <w:rsid w:val="29397105"/>
    <w:rsid w:val="299469B3"/>
    <w:rsid w:val="29BE69C3"/>
    <w:rsid w:val="2A805789"/>
    <w:rsid w:val="2AFD00E0"/>
    <w:rsid w:val="2B4A0E52"/>
    <w:rsid w:val="2B563544"/>
    <w:rsid w:val="2C975890"/>
    <w:rsid w:val="2DEF21BB"/>
    <w:rsid w:val="2E4A2F05"/>
    <w:rsid w:val="2ECC1061"/>
    <w:rsid w:val="2FA476AD"/>
    <w:rsid w:val="303F7540"/>
    <w:rsid w:val="31DD00BF"/>
    <w:rsid w:val="328B2FA1"/>
    <w:rsid w:val="3293174C"/>
    <w:rsid w:val="32936002"/>
    <w:rsid w:val="32BB38D4"/>
    <w:rsid w:val="32C9376D"/>
    <w:rsid w:val="33780472"/>
    <w:rsid w:val="33933F43"/>
    <w:rsid w:val="33AF0905"/>
    <w:rsid w:val="33FA46C1"/>
    <w:rsid w:val="34EB6088"/>
    <w:rsid w:val="350B55AF"/>
    <w:rsid w:val="355932F4"/>
    <w:rsid w:val="35611882"/>
    <w:rsid w:val="35EB0033"/>
    <w:rsid w:val="36746FC3"/>
    <w:rsid w:val="368763AE"/>
    <w:rsid w:val="38C37857"/>
    <w:rsid w:val="395D59E7"/>
    <w:rsid w:val="396D5BB3"/>
    <w:rsid w:val="39A93932"/>
    <w:rsid w:val="3A915562"/>
    <w:rsid w:val="3B7265A0"/>
    <w:rsid w:val="3B8D4765"/>
    <w:rsid w:val="3BCF22B8"/>
    <w:rsid w:val="3C000DBA"/>
    <w:rsid w:val="3DC045D3"/>
    <w:rsid w:val="3E504FFB"/>
    <w:rsid w:val="3E615CD0"/>
    <w:rsid w:val="3E9C47F6"/>
    <w:rsid w:val="3FAB3095"/>
    <w:rsid w:val="3FE45947"/>
    <w:rsid w:val="404D23C9"/>
    <w:rsid w:val="412253A8"/>
    <w:rsid w:val="41242965"/>
    <w:rsid w:val="42D4120D"/>
    <w:rsid w:val="435671EA"/>
    <w:rsid w:val="440809E9"/>
    <w:rsid w:val="442407A6"/>
    <w:rsid w:val="44805EA1"/>
    <w:rsid w:val="451A1CB3"/>
    <w:rsid w:val="45710696"/>
    <w:rsid w:val="46142B1B"/>
    <w:rsid w:val="46C14AA3"/>
    <w:rsid w:val="47802533"/>
    <w:rsid w:val="47E60DD0"/>
    <w:rsid w:val="481C151D"/>
    <w:rsid w:val="482A1360"/>
    <w:rsid w:val="48735039"/>
    <w:rsid w:val="492C684B"/>
    <w:rsid w:val="49500594"/>
    <w:rsid w:val="498A51CF"/>
    <w:rsid w:val="49E7604E"/>
    <w:rsid w:val="4B1C1D77"/>
    <w:rsid w:val="4BF67CDD"/>
    <w:rsid w:val="4D603DD6"/>
    <w:rsid w:val="4EBF010F"/>
    <w:rsid w:val="4EF95324"/>
    <w:rsid w:val="4F471EB0"/>
    <w:rsid w:val="51015B9F"/>
    <w:rsid w:val="51331326"/>
    <w:rsid w:val="51740A7F"/>
    <w:rsid w:val="51A5541E"/>
    <w:rsid w:val="51C96242"/>
    <w:rsid w:val="537F55D7"/>
    <w:rsid w:val="54341889"/>
    <w:rsid w:val="54F46F60"/>
    <w:rsid w:val="55A37BEA"/>
    <w:rsid w:val="5784687B"/>
    <w:rsid w:val="57846959"/>
    <w:rsid w:val="578E6A87"/>
    <w:rsid w:val="58907098"/>
    <w:rsid w:val="58CA0F0B"/>
    <w:rsid w:val="590737D2"/>
    <w:rsid w:val="5A307F33"/>
    <w:rsid w:val="5A5738FA"/>
    <w:rsid w:val="5AC2203A"/>
    <w:rsid w:val="5CBB3334"/>
    <w:rsid w:val="5D115FAF"/>
    <w:rsid w:val="5D457657"/>
    <w:rsid w:val="5E230CC6"/>
    <w:rsid w:val="609C19A8"/>
    <w:rsid w:val="62811722"/>
    <w:rsid w:val="62E75A72"/>
    <w:rsid w:val="63DC186C"/>
    <w:rsid w:val="63F7026C"/>
    <w:rsid w:val="64571880"/>
    <w:rsid w:val="649125B6"/>
    <w:rsid w:val="652F4C1A"/>
    <w:rsid w:val="666D37F1"/>
    <w:rsid w:val="67087D8F"/>
    <w:rsid w:val="671F687E"/>
    <w:rsid w:val="67F415F8"/>
    <w:rsid w:val="684B73E5"/>
    <w:rsid w:val="6A047A2A"/>
    <w:rsid w:val="6AD72251"/>
    <w:rsid w:val="6D1D2ABE"/>
    <w:rsid w:val="6DA21434"/>
    <w:rsid w:val="6E954047"/>
    <w:rsid w:val="6F3831C3"/>
    <w:rsid w:val="70417DD1"/>
    <w:rsid w:val="70646468"/>
    <w:rsid w:val="70753482"/>
    <w:rsid w:val="707B522A"/>
    <w:rsid w:val="73194D05"/>
    <w:rsid w:val="736175F0"/>
    <w:rsid w:val="73826ECD"/>
    <w:rsid w:val="73A83B0E"/>
    <w:rsid w:val="73C5085D"/>
    <w:rsid w:val="744D3EF9"/>
    <w:rsid w:val="74794411"/>
    <w:rsid w:val="75867C40"/>
    <w:rsid w:val="76432199"/>
    <w:rsid w:val="76F44829"/>
    <w:rsid w:val="77A267C0"/>
    <w:rsid w:val="78205483"/>
    <w:rsid w:val="78811C4B"/>
    <w:rsid w:val="78882278"/>
    <w:rsid w:val="78B118A6"/>
    <w:rsid w:val="78DE16F4"/>
    <w:rsid w:val="79135044"/>
    <w:rsid w:val="79F84B06"/>
    <w:rsid w:val="7A644B5B"/>
    <w:rsid w:val="7A7D0F99"/>
    <w:rsid w:val="7B2A08DE"/>
    <w:rsid w:val="7EFD44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unhideWhenUsed/>
    <w:qFormat/>
    <w:uiPriority w:val="99"/>
    <w:pPr>
      <w:jc w:val="left"/>
    </w:pPr>
  </w:style>
  <w:style w:type="paragraph" w:styleId="4">
    <w:name w:val="Balloon Text"/>
    <w:basedOn w:val="1"/>
    <w:link w:val="16"/>
    <w:unhideWhenUsed/>
    <w:qFormat/>
    <w:uiPriority w:val="99"/>
    <w:rPr>
      <w:sz w:val="18"/>
      <w:szCs w:val="18"/>
    </w:rPr>
  </w:style>
  <w:style w:type="paragraph" w:styleId="5">
    <w:name w:val="footer"/>
    <w:basedOn w:val="1"/>
    <w:link w:val="21"/>
    <w:unhideWhenUsed/>
    <w:qFormat/>
    <w:uiPriority w:val="99"/>
    <w:pPr>
      <w:tabs>
        <w:tab w:val="center" w:pos="4153"/>
        <w:tab w:val="right" w:pos="8306"/>
      </w:tabs>
      <w:snapToGrid w:val="0"/>
      <w:jc w:val="left"/>
    </w:pPr>
    <w:rPr>
      <w:sz w:val="18"/>
      <w:szCs w:val="18"/>
    </w:rPr>
  </w:style>
  <w:style w:type="paragraph" w:styleId="6">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footnote text"/>
    <w:basedOn w:val="1"/>
    <w:unhideWhenUsed/>
    <w:qFormat/>
    <w:uiPriority w:val="99"/>
    <w:pPr>
      <w:snapToGrid w:val="0"/>
      <w:jc w:val="left"/>
    </w:pPr>
    <w:rPr>
      <w:sz w:val="18"/>
    </w:rPr>
  </w:style>
  <w:style w:type="paragraph" w:styleId="8">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FollowedHyperlink"/>
    <w:unhideWhenUsed/>
    <w:qFormat/>
    <w:uiPriority w:val="99"/>
    <w:rPr>
      <w:color w:val="800080"/>
      <w:u w:val="single"/>
    </w:rPr>
  </w:style>
  <w:style w:type="character" w:styleId="13">
    <w:name w:val="Hyperlink"/>
    <w:unhideWhenUsed/>
    <w:qFormat/>
    <w:uiPriority w:val="99"/>
    <w:rPr>
      <w:color w:val="0000FF"/>
      <w:u w:val="single"/>
    </w:rPr>
  </w:style>
  <w:style w:type="character" w:styleId="14">
    <w:name w:val="annotation reference"/>
    <w:basedOn w:val="11"/>
    <w:semiHidden/>
    <w:unhideWhenUsed/>
    <w:qFormat/>
    <w:uiPriority w:val="99"/>
    <w:rPr>
      <w:sz w:val="21"/>
      <w:szCs w:val="21"/>
    </w:rPr>
  </w:style>
  <w:style w:type="character" w:styleId="15">
    <w:name w:val="footnote reference"/>
    <w:basedOn w:val="11"/>
    <w:unhideWhenUsed/>
    <w:qFormat/>
    <w:uiPriority w:val="99"/>
    <w:rPr>
      <w:vertAlign w:val="superscript"/>
    </w:rPr>
  </w:style>
  <w:style w:type="character" w:customStyle="1" w:styleId="16">
    <w:name w:val="批注框文本 Char"/>
    <w:basedOn w:val="11"/>
    <w:link w:val="4"/>
    <w:semiHidden/>
    <w:qFormat/>
    <w:uiPriority w:val="99"/>
    <w:rPr>
      <w:kern w:val="2"/>
      <w:sz w:val="18"/>
      <w:szCs w:val="18"/>
    </w:rPr>
  </w:style>
  <w:style w:type="character" w:customStyle="1" w:styleId="17">
    <w:name w:val="font01"/>
    <w:basedOn w:val="11"/>
    <w:qFormat/>
    <w:uiPriority w:val="0"/>
    <w:rPr>
      <w:rFonts w:hint="eastAsia" w:ascii="宋体" w:hAnsi="宋体" w:eastAsia="宋体" w:cs="宋体"/>
      <w:color w:val="000000"/>
      <w:sz w:val="22"/>
      <w:szCs w:val="22"/>
      <w:u w:val="none"/>
    </w:rPr>
  </w:style>
  <w:style w:type="character" w:customStyle="1" w:styleId="18">
    <w:name w:val="页眉 Char"/>
    <w:link w:val="6"/>
    <w:qFormat/>
    <w:uiPriority w:val="99"/>
    <w:rPr>
      <w:kern w:val="2"/>
      <w:sz w:val="18"/>
      <w:szCs w:val="18"/>
    </w:rPr>
  </w:style>
  <w:style w:type="character" w:customStyle="1" w:styleId="19">
    <w:name w:val="font51"/>
    <w:basedOn w:val="11"/>
    <w:qFormat/>
    <w:uiPriority w:val="0"/>
    <w:rPr>
      <w:rFonts w:hint="eastAsia" w:ascii="宋体" w:hAnsi="宋体" w:eastAsia="宋体" w:cs="宋体"/>
      <w:color w:val="000000"/>
      <w:sz w:val="24"/>
      <w:szCs w:val="24"/>
      <w:u w:val="none"/>
    </w:rPr>
  </w:style>
  <w:style w:type="character" w:customStyle="1" w:styleId="20">
    <w:name w:val="font21"/>
    <w:basedOn w:val="11"/>
    <w:qFormat/>
    <w:uiPriority w:val="0"/>
    <w:rPr>
      <w:rFonts w:hint="eastAsia" w:ascii="宋体" w:hAnsi="宋体" w:eastAsia="宋体" w:cs="宋体"/>
      <w:color w:val="000000"/>
      <w:sz w:val="22"/>
      <w:szCs w:val="22"/>
      <w:u w:val="none"/>
    </w:rPr>
  </w:style>
  <w:style w:type="character" w:customStyle="1" w:styleId="21">
    <w:name w:val="页脚 Char"/>
    <w:link w:val="5"/>
    <w:qFormat/>
    <w:uiPriority w:val="99"/>
    <w:rPr>
      <w:kern w:val="2"/>
      <w:sz w:val="18"/>
      <w:szCs w:val="18"/>
    </w:rPr>
  </w:style>
  <w:style w:type="character" w:customStyle="1" w:styleId="22">
    <w:name w:val="font11"/>
    <w:basedOn w:val="11"/>
    <w:qFormat/>
    <w:uiPriority w:val="0"/>
    <w:rPr>
      <w:rFonts w:hint="eastAsia" w:ascii="宋体" w:hAnsi="宋体" w:eastAsia="宋体" w:cs="宋体"/>
      <w:color w:val="000000"/>
      <w:sz w:val="20"/>
      <w:szCs w:val="20"/>
      <w:u w:val="none"/>
    </w:rPr>
  </w:style>
  <w:style w:type="character" w:customStyle="1" w:styleId="23">
    <w:name w:val="font41"/>
    <w:basedOn w:val="11"/>
    <w:qFormat/>
    <w:uiPriority w:val="0"/>
    <w:rPr>
      <w:rFonts w:hint="eastAsia" w:ascii="宋体" w:hAnsi="宋体" w:eastAsia="宋体" w:cs="宋体"/>
      <w:color w:val="000000"/>
      <w:sz w:val="24"/>
      <w:szCs w:val="24"/>
      <w:u w:val="none"/>
    </w:rPr>
  </w:style>
  <w:style w:type="paragraph" w:customStyle="1" w:styleId="24">
    <w:name w:val="标题1"/>
    <w:basedOn w:val="2"/>
    <w:qFormat/>
    <w:uiPriority w:val="0"/>
    <w:pPr>
      <w:spacing w:before="0" w:after="0" w:line="240" w:lineRule="auto"/>
      <w:jc w:val="center"/>
    </w:pPr>
    <w:rPr>
      <w:rFonts w:ascii="华文中宋" w:hAnsi="华文中宋" w:eastAsia="华文中宋"/>
      <w:sz w:val="36"/>
      <w:szCs w:val="36"/>
    </w:rPr>
  </w:style>
  <w:style w:type="paragraph" w:customStyle="1" w:styleId="25">
    <w:name w:val="Revision"/>
    <w:hidden/>
    <w:unhideWhenUsed/>
    <w:qFormat/>
    <w:uiPriority w:val="99"/>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 User</Company>
  <Pages>19</Pages>
  <Words>734</Words>
  <Characters>4188</Characters>
  <Lines>34</Lines>
  <Paragraphs>9</Paragraphs>
  <TotalTime>3</TotalTime>
  <ScaleCrop>false</ScaleCrop>
  <LinksUpToDate>false</LinksUpToDate>
  <CharactersWithSpaces>4913</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2020-10-12T08:10:00Z</dcterms:created>
  <dc:creator>管理者</dc:creator>
  <cp:lastModifiedBy>acer</cp:lastModifiedBy>
  <cp:lastPrinted>2020-11-02T02:53:00Z</cp:lastPrinted>
  <dcterms:modified xsi:type="dcterms:W3CDTF">2021-12-20T09:48:10Z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6842A56D40364C86B541262F97D8396D</vt:lpwstr>
  </property>
</Properties>
</file>